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D8E5" w14:textId="52BF25F6" w:rsidR="00CD4A52" w:rsidRPr="00273C29" w:rsidRDefault="0015508C" w:rsidP="00EA7F4F">
      <w:pPr>
        <w:pStyle w:val="ListParagraph"/>
        <w:ind w:left="0"/>
        <w:jc w:val="center"/>
        <w:rPr>
          <w:rFonts w:ascii="Trebuchet MS" w:hAnsi="Trebuchet MS"/>
          <w:sz w:val="32"/>
        </w:rPr>
      </w:pPr>
      <w:bookmarkStart w:id="0" w:name="_GoBack"/>
      <w:bookmarkEnd w:id="0"/>
      <w:r w:rsidRPr="00EA7F4F">
        <w:rPr>
          <w:rFonts w:ascii="Trebuchet MS" w:hAnsi="Trebuchet MS"/>
          <w:b/>
          <w:sz w:val="36"/>
        </w:rPr>
        <w:t>California’s</w:t>
      </w:r>
      <w:r w:rsidR="00BD470B">
        <w:rPr>
          <w:rFonts w:ascii="Trebuchet MS" w:hAnsi="Trebuchet MS"/>
          <w:b/>
          <w:sz w:val="32"/>
        </w:rPr>
        <w:t xml:space="preserve"> NGSS “R</w:t>
      </w:r>
      <w:r w:rsidRPr="00273C29">
        <w:rPr>
          <w:rFonts w:ascii="Trebuchet MS" w:hAnsi="Trebuchet MS"/>
          <w:b/>
          <w:sz w:val="32"/>
        </w:rPr>
        <w:t xml:space="preserve">ollout” </w:t>
      </w:r>
      <w:r w:rsidR="00CD4A52" w:rsidRPr="00273C29">
        <w:rPr>
          <w:rFonts w:ascii="Trebuchet MS" w:hAnsi="Trebuchet MS"/>
          <w:b/>
          <w:sz w:val="32"/>
        </w:rPr>
        <w:t>Timeline</w:t>
      </w:r>
      <w:r w:rsidR="00841436">
        <w:rPr>
          <w:rStyle w:val="FootnoteReference"/>
          <w:rFonts w:ascii="Trebuchet MS" w:hAnsi="Trebuchet MS"/>
          <w:b/>
          <w:sz w:val="32"/>
        </w:rPr>
        <w:footnoteReference w:id="1"/>
      </w:r>
    </w:p>
    <w:p w14:paraId="0CE8204D" w14:textId="3449EE4D" w:rsidR="00742701" w:rsidRPr="00EA7F4F" w:rsidRDefault="00742701" w:rsidP="00CD4A52">
      <w:pPr>
        <w:pStyle w:val="NormalWeb"/>
        <w:rPr>
          <w:rFonts w:ascii="Trebuchet MS" w:hAnsi="Trebuchet MS"/>
          <w:b/>
          <w:sz w:val="32"/>
          <w:szCs w:val="32"/>
        </w:rPr>
      </w:pPr>
      <w:r w:rsidRPr="00EA7F4F">
        <w:rPr>
          <w:rFonts w:ascii="Trebuchet MS" w:hAnsi="Trebuchet MS"/>
          <w:b/>
          <w:sz w:val="32"/>
          <w:szCs w:val="32"/>
        </w:rPr>
        <w:t>2013-2014</w:t>
      </w:r>
      <w:r w:rsidR="00FD68D2" w:rsidRPr="00EA7F4F">
        <w:rPr>
          <w:rFonts w:ascii="Trebuchet MS" w:hAnsi="Trebuchet MS"/>
          <w:b/>
          <w:sz w:val="32"/>
          <w:szCs w:val="32"/>
        </w:rPr>
        <w:t xml:space="preserve"> </w:t>
      </w:r>
      <w:r w:rsidR="00FD68D2" w:rsidRPr="00EA7F4F">
        <w:rPr>
          <w:rFonts w:ascii="Trebuchet MS" w:hAnsi="Trebuchet MS"/>
          <w:sz w:val="32"/>
          <w:szCs w:val="32"/>
        </w:rPr>
        <w:t>[Zero year]</w:t>
      </w:r>
    </w:p>
    <w:p w14:paraId="33ABC08E" w14:textId="77777777" w:rsidR="00406421" w:rsidRPr="00E44F3C" w:rsidRDefault="00406421" w:rsidP="00406421">
      <w:pPr>
        <w:jc w:val="both"/>
        <w:rPr>
          <w:rFonts w:ascii="Trebuchet MS" w:hAnsi="Trebuchet MS"/>
          <w:sz w:val="20"/>
          <w:szCs w:val="20"/>
        </w:rPr>
      </w:pPr>
      <w:r w:rsidRPr="00E44F3C">
        <w:rPr>
          <w:rFonts w:ascii="Trebuchet MS" w:hAnsi="Trebuchet MS"/>
          <w:sz w:val="20"/>
          <w:szCs w:val="20"/>
        </w:rPr>
        <w:t xml:space="preserve">The </w:t>
      </w:r>
      <w:r w:rsidRPr="00E44F3C">
        <w:rPr>
          <w:rFonts w:ascii="Trebuchet MS" w:hAnsi="Trebuchet MS"/>
          <w:b/>
          <w:i/>
          <w:sz w:val="20"/>
          <w:szCs w:val="20"/>
        </w:rPr>
        <w:t>budget</w:t>
      </w:r>
      <w:r w:rsidRPr="00E44F3C">
        <w:rPr>
          <w:rFonts w:ascii="Trebuchet MS" w:hAnsi="Trebuchet MS"/>
          <w:sz w:val="20"/>
          <w:szCs w:val="20"/>
        </w:rPr>
        <w:t xml:space="preserve"> signed by Governor Brown at the end of June 2013 included $1.25 billion in one-time funding to help districts implement the Common Core State Standards (CCSS). </w:t>
      </w:r>
      <w:r w:rsidRPr="00E44F3C">
        <w:rPr>
          <w:rFonts w:ascii="Trebuchet MS" w:hAnsi="Trebuchet MS"/>
          <w:sz w:val="20"/>
          <w:szCs w:val="20"/>
          <w:highlight w:val="yellow"/>
        </w:rPr>
        <w:t>But what you might have missed is that the language of the trailer bill (a legislative vehicle that accompanies the state budget that describes how budget funds are to be spent) includes the NGSS for California</w:t>
      </w:r>
      <w:r w:rsidRPr="00E44F3C">
        <w:rPr>
          <w:rFonts w:ascii="Trebuchet MS" w:hAnsi="Trebuchet MS"/>
          <w:sz w:val="20"/>
          <w:szCs w:val="20"/>
        </w:rPr>
        <w:t xml:space="preserve">. According to the </w:t>
      </w:r>
      <w:hyperlink r:id="rId8" w:history="1">
        <w:r w:rsidRPr="00E44F3C">
          <w:rPr>
            <w:rStyle w:val="Hyperlink"/>
            <w:rFonts w:ascii="Trebuchet MS" w:hAnsi="Trebuchet MS"/>
            <w:sz w:val="20"/>
            <w:szCs w:val="20"/>
          </w:rPr>
          <w:t>California Department of Education</w:t>
        </w:r>
      </w:hyperlink>
      <w:r w:rsidRPr="00E44F3C">
        <w:rPr>
          <w:rFonts w:ascii="Trebuchet MS" w:hAnsi="Trebuchet MS"/>
          <w:sz w:val="20"/>
          <w:szCs w:val="20"/>
        </w:rPr>
        <w:t xml:space="preserve"> and per the language of</w:t>
      </w:r>
      <w:r w:rsidRPr="00E44F3C">
        <w:rPr>
          <w:rFonts w:ascii="Trebuchet MS" w:hAnsi="Trebuchet MS"/>
          <w:sz w:val="20"/>
          <w:szCs w:val="20"/>
        </w:rPr>
        <w:fldChar w:fldCharType="begin"/>
      </w:r>
      <w:r w:rsidRPr="00E44F3C">
        <w:rPr>
          <w:rFonts w:ascii="Trebuchet MS" w:hAnsi="Trebuchet MS"/>
          <w:sz w:val="20"/>
          <w:szCs w:val="20"/>
        </w:rPr>
        <w:instrText xml:space="preserve"> HYPERLINK "http://leginfo.legislature.ca.gov/faces/billNavClient.xhtml?bill_id=201320140AB86&amp;search_keywords=" \t "_blank" </w:instrText>
      </w:r>
      <w:r w:rsidRPr="00E44F3C">
        <w:rPr>
          <w:rFonts w:ascii="Trebuchet MS" w:hAnsi="Trebuchet MS"/>
          <w:sz w:val="20"/>
          <w:szCs w:val="20"/>
        </w:rPr>
        <w:fldChar w:fldCharType="separate"/>
      </w:r>
      <w:r w:rsidRPr="00E44F3C">
        <w:rPr>
          <w:rStyle w:val="Hyperlink"/>
          <w:rFonts w:ascii="Trebuchet MS" w:hAnsi="Trebuchet MS"/>
          <w:sz w:val="20"/>
          <w:szCs w:val="20"/>
        </w:rPr>
        <w:t xml:space="preserve"> AB 86, Section 85</w:t>
      </w:r>
      <w:r w:rsidRPr="00E44F3C">
        <w:rPr>
          <w:rFonts w:ascii="Trebuchet MS" w:hAnsi="Trebuchet MS"/>
          <w:sz w:val="20"/>
          <w:szCs w:val="20"/>
        </w:rPr>
        <w:fldChar w:fldCharType="end"/>
      </w:r>
      <w:r w:rsidRPr="00E44F3C">
        <w:rPr>
          <w:rFonts w:ascii="Trebuchet MS" w:hAnsi="Trebuchet MS"/>
          <w:sz w:val="20"/>
          <w:szCs w:val="20"/>
        </w:rPr>
        <w:t xml:space="preserve"> the funds are to be spent in 2013/2014 and 2014/2015 and can be used for any of three purposes (specific bill language below for reference):</w:t>
      </w:r>
    </w:p>
    <w:p w14:paraId="5F06DCB4" w14:textId="77777777" w:rsidR="00406421" w:rsidRPr="00E44F3C" w:rsidRDefault="00406421" w:rsidP="00E44F3C">
      <w:pPr>
        <w:numPr>
          <w:ilvl w:val="0"/>
          <w:numId w:val="7"/>
        </w:numPr>
        <w:jc w:val="both"/>
        <w:rPr>
          <w:rFonts w:ascii="Trebuchet MS" w:hAnsi="Trebuchet MS"/>
          <w:sz w:val="20"/>
          <w:szCs w:val="20"/>
        </w:rPr>
      </w:pPr>
      <w:r w:rsidRPr="00E44F3C">
        <w:rPr>
          <w:rFonts w:ascii="Trebuchet MS" w:hAnsi="Trebuchet MS"/>
          <w:b/>
          <w:i/>
          <w:sz w:val="20"/>
          <w:szCs w:val="20"/>
        </w:rPr>
        <w:t>Professional development</w:t>
      </w:r>
      <w:r w:rsidRPr="00E44F3C">
        <w:rPr>
          <w:rFonts w:ascii="Trebuchet MS" w:hAnsi="Trebuchet MS"/>
          <w:sz w:val="20"/>
          <w:szCs w:val="20"/>
        </w:rPr>
        <w:t xml:space="preserve"> that is aligned to the CCSS, NGSS for California, and/or ELD Standards. This can be provided for teachers, administrators, paraprofessional educators, or other classified employees directly involved in instruction.</w:t>
      </w:r>
    </w:p>
    <w:p w14:paraId="254DCC6B" w14:textId="77777777" w:rsidR="00406421" w:rsidRPr="00E44F3C" w:rsidRDefault="00406421" w:rsidP="00406421">
      <w:pPr>
        <w:numPr>
          <w:ilvl w:val="0"/>
          <w:numId w:val="7"/>
        </w:numPr>
        <w:rPr>
          <w:rFonts w:ascii="Trebuchet MS" w:hAnsi="Trebuchet MS"/>
          <w:sz w:val="20"/>
          <w:szCs w:val="20"/>
        </w:rPr>
      </w:pPr>
      <w:r w:rsidRPr="00E44F3C">
        <w:rPr>
          <w:rFonts w:ascii="Trebuchet MS" w:hAnsi="Trebuchet MS"/>
          <w:b/>
          <w:i/>
          <w:sz w:val="20"/>
          <w:szCs w:val="20"/>
        </w:rPr>
        <w:t>Instructional materials</w:t>
      </w:r>
      <w:r w:rsidRPr="00E44F3C">
        <w:rPr>
          <w:rFonts w:ascii="Trebuchet MS" w:hAnsi="Trebuchet MS"/>
          <w:sz w:val="20"/>
          <w:szCs w:val="20"/>
        </w:rPr>
        <w:t xml:space="preserve"> aligned to the CCSS, NGSS for California, and/or ELD Standards.</w:t>
      </w:r>
    </w:p>
    <w:p w14:paraId="34A7F558" w14:textId="77777777" w:rsidR="00406421" w:rsidRPr="00E44F3C" w:rsidRDefault="00406421" w:rsidP="00E44F3C">
      <w:pPr>
        <w:numPr>
          <w:ilvl w:val="0"/>
          <w:numId w:val="7"/>
        </w:numPr>
        <w:jc w:val="both"/>
        <w:rPr>
          <w:rFonts w:ascii="Trebuchet MS" w:hAnsi="Trebuchet MS"/>
          <w:sz w:val="20"/>
          <w:szCs w:val="20"/>
        </w:rPr>
      </w:pPr>
      <w:r w:rsidRPr="00E44F3C">
        <w:rPr>
          <w:rFonts w:ascii="Trebuchet MS" w:hAnsi="Trebuchet MS"/>
          <w:b/>
          <w:i/>
          <w:sz w:val="20"/>
          <w:szCs w:val="20"/>
        </w:rPr>
        <w:t xml:space="preserve">Integrating the CCSS/NGSS </w:t>
      </w:r>
      <w:r w:rsidRPr="0087194B">
        <w:rPr>
          <w:rFonts w:ascii="Trebuchet MS" w:hAnsi="Trebuchet MS"/>
          <w:b/>
          <w:i/>
          <w:sz w:val="20"/>
          <w:szCs w:val="20"/>
          <w:highlight w:val="yellow"/>
        </w:rPr>
        <w:t>through technology-based instruction</w:t>
      </w:r>
      <w:r w:rsidRPr="00E44F3C">
        <w:rPr>
          <w:rFonts w:ascii="Trebuchet MS" w:hAnsi="Trebuchet MS"/>
          <w:sz w:val="20"/>
          <w:szCs w:val="20"/>
        </w:rPr>
        <w:t>, such as expenses relating to support of computer-based assessment (e.g. high-speed internet connection, etc.)</w:t>
      </w:r>
    </w:p>
    <w:p w14:paraId="0678377A" w14:textId="77777777" w:rsidR="00E44F3C" w:rsidRPr="00E44F3C" w:rsidRDefault="00E44F3C" w:rsidP="00406421">
      <w:pPr>
        <w:rPr>
          <w:rFonts w:ascii="Trebuchet MS" w:hAnsi="Trebuchet MS"/>
          <w:sz w:val="20"/>
          <w:szCs w:val="20"/>
        </w:rPr>
      </w:pPr>
    </w:p>
    <w:p w14:paraId="2A7C0DF5" w14:textId="36E1F924" w:rsidR="00406421" w:rsidRPr="00E44F3C" w:rsidRDefault="00406421" w:rsidP="00E44F3C">
      <w:pPr>
        <w:jc w:val="both"/>
        <w:rPr>
          <w:rFonts w:ascii="Trebuchet MS" w:hAnsi="Trebuchet MS"/>
          <w:sz w:val="20"/>
          <w:szCs w:val="20"/>
        </w:rPr>
      </w:pPr>
      <w:r w:rsidRPr="00E44F3C">
        <w:rPr>
          <w:rFonts w:ascii="Trebuchet MS" w:hAnsi="Trebuchet MS"/>
          <w:sz w:val="20"/>
          <w:szCs w:val="20"/>
        </w:rPr>
        <w:t xml:space="preserve">While it is anticipated that most school districts will </w:t>
      </w:r>
      <w:r w:rsidRPr="00E44F3C">
        <w:rPr>
          <w:rFonts w:ascii="Trebuchet MS" w:hAnsi="Trebuchet MS"/>
          <w:sz w:val="20"/>
          <w:szCs w:val="20"/>
          <w:highlight w:val="yellow"/>
        </w:rPr>
        <w:t>focus their funding primarily on Common Core implementation rather than NGSS,</w:t>
      </w:r>
      <w:r w:rsidRPr="00E44F3C">
        <w:rPr>
          <w:rFonts w:ascii="Trebuchet MS" w:hAnsi="Trebuchet MS"/>
          <w:sz w:val="20"/>
          <w:szCs w:val="20"/>
        </w:rPr>
        <w:t xml:space="preserve"> that does not mean that you as a science teacher need be left out in the cold. Talk to your </w:t>
      </w:r>
      <w:r w:rsidR="00E44F3C" w:rsidRPr="00E44F3C">
        <w:rPr>
          <w:rFonts w:ascii="Trebuchet MS" w:hAnsi="Trebuchet MS"/>
          <w:sz w:val="20"/>
          <w:szCs w:val="20"/>
        </w:rPr>
        <w:t>administrators</w:t>
      </w:r>
      <w:r w:rsidRPr="00E44F3C">
        <w:rPr>
          <w:rFonts w:ascii="Trebuchet MS" w:hAnsi="Trebuchet MS"/>
          <w:sz w:val="20"/>
          <w:szCs w:val="20"/>
        </w:rPr>
        <w:t xml:space="preserve"> about including your professional development needs around both Common Core and NGSS in their plans. </w:t>
      </w:r>
    </w:p>
    <w:p w14:paraId="2A9F1314" w14:textId="77777777" w:rsidR="00406421" w:rsidRDefault="00406421" w:rsidP="005A01A9">
      <w:pPr>
        <w:jc w:val="both"/>
        <w:rPr>
          <w:rFonts w:ascii="Trebuchet MS" w:eastAsia="Times New Roman" w:hAnsi="Trebuchet MS" w:cs="Times New Roman"/>
          <w:i/>
          <w:sz w:val="20"/>
          <w:szCs w:val="20"/>
        </w:rPr>
      </w:pPr>
    </w:p>
    <w:p w14:paraId="16876674" w14:textId="1B940ED4" w:rsidR="00742701" w:rsidRPr="005A01A9" w:rsidRDefault="00A810F1" w:rsidP="005A01A9">
      <w:pPr>
        <w:jc w:val="both"/>
        <w:rPr>
          <w:rFonts w:ascii="Trebuchet MS" w:eastAsia="Times New Roman" w:hAnsi="Trebuchet MS" w:cs="Times New Roman"/>
          <w:sz w:val="20"/>
          <w:szCs w:val="20"/>
        </w:rPr>
      </w:pPr>
      <w:r>
        <w:rPr>
          <w:rFonts w:ascii="Trebuchet MS" w:eastAsia="Times New Roman" w:hAnsi="Trebuchet MS" w:cs="Times New Roman"/>
          <w:i/>
          <w:sz w:val="20"/>
          <w:szCs w:val="20"/>
        </w:rPr>
        <w:t xml:space="preserve">On </w:t>
      </w:r>
      <w:r w:rsidR="00742701" w:rsidRPr="005A01A9">
        <w:rPr>
          <w:rFonts w:ascii="Trebuchet MS" w:eastAsia="Times New Roman" w:hAnsi="Trebuchet MS" w:cs="Times New Roman"/>
          <w:i/>
          <w:sz w:val="20"/>
          <w:szCs w:val="20"/>
        </w:rPr>
        <w:t>September 4, 2013</w:t>
      </w:r>
      <w:r w:rsidR="00742701" w:rsidRPr="005A01A9">
        <w:rPr>
          <w:rFonts w:ascii="Trebuchet MS" w:eastAsia="Times New Roman" w:hAnsi="Trebuchet MS" w:cs="Times New Roman"/>
          <w:sz w:val="20"/>
          <w:szCs w:val="20"/>
        </w:rPr>
        <w:t xml:space="preserve">, </w:t>
      </w:r>
      <w:r w:rsidR="00742701" w:rsidRPr="005A01A9">
        <w:rPr>
          <w:rFonts w:ascii="Trebuchet MS" w:eastAsia="Times New Roman" w:hAnsi="Trebuchet MS" w:cs="Times New Roman"/>
          <w:bCs/>
          <w:sz w:val="20"/>
          <w:szCs w:val="20"/>
        </w:rPr>
        <w:t>Sta</w:t>
      </w:r>
      <w:r>
        <w:rPr>
          <w:rFonts w:ascii="Trebuchet MS" w:eastAsia="Times New Roman" w:hAnsi="Trebuchet MS" w:cs="Times New Roman"/>
          <w:bCs/>
          <w:sz w:val="20"/>
          <w:szCs w:val="20"/>
        </w:rPr>
        <w:t xml:space="preserve">te Schools Chief Tom </w:t>
      </w:r>
      <w:proofErr w:type="spellStart"/>
      <w:r>
        <w:rPr>
          <w:rFonts w:ascii="Trebuchet MS" w:eastAsia="Times New Roman" w:hAnsi="Trebuchet MS" w:cs="Times New Roman"/>
          <w:bCs/>
          <w:sz w:val="20"/>
          <w:szCs w:val="20"/>
        </w:rPr>
        <w:t>Torlakson</w:t>
      </w:r>
      <w:proofErr w:type="spellEnd"/>
      <w:r>
        <w:rPr>
          <w:rFonts w:ascii="Trebuchet MS" w:eastAsia="Times New Roman" w:hAnsi="Trebuchet MS" w:cs="Times New Roman"/>
          <w:bCs/>
          <w:sz w:val="20"/>
          <w:szCs w:val="20"/>
        </w:rPr>
        <w:t xml:space="preserve"> announced</w:t>
      </w:r>
      <w:r w:rsidR="00742701" w:rsidRPr="005A01A9">
        <w:rPr>
          <w:rFonts w:ascii="Trebuchet MS" w:eastAsia="Times New Roman" w:hAnsi="Trebuchet MS" w:cs="Times New Roman"/>
          <w:bCs/>
          <w:sz w:val="20"/>
          <w:szCs w:val="20"/>
        </w:rPr>
        <w:t xml:space="preserve"> </w:t>
      </w:r>
      <w:r>
        <w:rPr>
          <w:rFonts w:ascii="Trebuchet MS" w:eastAsia="Times New Roman" w:hAnsi="Trebuchet MS" w:cs="Times New Roman"/>
          <w:bCs/>
          <w:sz w:val="20"/>
          <w:szCs w:val="20"/>
        </w:rPr>
        <w:t xml:space="preserve">that the </w:t>
      </w:r>
      <w:r w:rsidR="00742701" w:rsidRPr="005A01A9">
        <w:rPr>
          <w:rFonts w:ascii="Trebuchet MS" w:eastAsia="Times New Roman" w:hAnsi="Trebuchet MS" w:cs="Times New Roman"/>
          <w:bCs/>
          <w:sz w:val="20"/>
          <w:szCs w:val="20"/>
        </w:rPr>
        <w:t>State</w:t>
      </w:r>
      <w:r w:rsidR="0056392E">
        <w:rPr>
          <w:rFonts w:ascii="Trebuchet MS" w:eastAsia="Times New Roman" w:hAnsi="Trebuchet MS" w:cs="Times New Roman"/>
          <w:bCs/>
          <w:sz w:val="20"/>
          <w:szCs w:val="20"/>
        </w:rPr>
        <w:t xml:space="preserve"> of California has a</w:t>
      </w:r>
      <w:r>
        <w:rPr>
          <w:rFonts w:ascii="Trebuchet MS" w:eastAsia="Times New Roman" w:hAnsi="Trebuchet MS" w:cs="Times New Roman"/>
          <w:bCs/>
          <w:sz w:val="20"/>
          <w:szCs w:val="20"/>
        </w:rPr>
        <w:t>dopted</w:t>
      </w:r>
      <w:r w:rsidR="00742701" w:rsidRPr="005A01A9">
        <w:rPr>
          <w:rFonts w:ascii="Trebuchet MS" w:eastAsia="Times New Roman" w:hAnsi="Trebuchet MS" w:cs="Times New Roman"/>
          <w:bCs/>
          <w:sz w:val="20"/>
          <w:szCs w:val="20"/>
        </w:rPr>
        <w:t xml:space="preserve"> </w:t>
      </w:r>
      <w:r w:rsidR="00742701" w:rsidRPr="00A810F1">
        <w:rPr>
          <w:rFonts w:ascii="Trebuchet MS" w:eastAsia="Times New Roman" w:hAnsi="Trebuchet MS" w:cs="Times New Roman"/>
          <w:bCs/>
          <w:i/>
          <w:sz w:val="20"/>
          <w:szCs w:val="20"/>
        </w:rPr>
        <w:t>Next Generation Science Standards</w:t>
      </w:r>
      <w:r>
        <w:rPr>
          <w:rFonts w:ascii="Trebuchet MS" w:eastAsia="Times New Roman" w:hAnsi="Trebuchet MS" w:cs="Times New Roman"/>
          <w:bCs/>
          <w:sz w:val="20"/>
          <w:szCs w:val="20"/>
        </w:rPr>
        <w:t xml:space="preserve"> (NGSS).</w:t>
      </w:r>
    </w:p>
    <w:p w14:paraId="487C1D1C" w14:textId="1E99BCE4" w:rsidR="00CD4A52" w:rsidRDefault="00CD4A52" w:rsidP="005A01A9">
      <w:pPr>
        <w:pStyle w:val="NormalWeb"/>
        <w:jc w:val="both"/>
        <w:rPr>
          <w:rFonts w:ascii="Trebuchet MS" w:hAnsi="Trebuchet MS"/>
        </w:rPr>
      </w:pPr>
      <w:r w:rsidRPr="00A810F1">
        <w:rPr>
          <w:rFonts w:ascii="Trebuchet MS" w:hAnsi="Trebuchet MS"/>
          <w:highlight w:val="yellow"/>
        </w:rPr>
        <w:t>California students will be assessed during the 2013-2014 school year</w:t>
      </w:r>
      <w:r w:rsidRPr="005A01A9">
        <w:rPr>
          <w:rFonts w:ascii="Trebuchet MS" w:hAnsi="Trebuchet MS"/>
        </w:rPr>
        <w:t xml:space="preserve"> in grades five (for fourth and fifth grade science content), eight (sixth through eighth grade science content), and ten (Life science content)</w:t>
      </w:r>
      <w:r w:rsidR="00B61016">
        <w:rPr>
          <w:rFonts w:ascii="Trebuchet MS" w:hAnsi="Trebuchet MS"/>
        </w:rPr>
        <w:t xml:space="preserve"> </w:t>
      </w:r>
      <w:r w:rsidR="00B61016" w:rsidRPr="00B61016">
        <w:rPr>
          <w:rFonts w:ascii="Trebuchet MS" w:hAnsi="Trebuchet MS"/>
        </w:rPr>
        <w:t>and will remain in place until new assessments are developed or additional legislative action is taken, so teachers at these grade levels should continue with their current instruction. (Current federal regulations, ESEA, require the state to test science at least once in grades 6-9.)</w:t>
      </w:r>
      <w:r w:rsidRPr="005A01A9">
        <w:rPr>
          <w:rFonts w:ascii="Trebuchet MS" w:hAnsi="Trebuchet MS"/>
        </w:rPr>
        <w:t>. These assessments will be based on the 199</w:t>
      </w:r>
      <w:r w:rsidR="00B61016">
        <w:rPr>
          <w:rFonts w:ascii="Trebuchet MS" w:hAnsi="Trebuchet MS"/>
        </w:rPr>
        <w:t>8 California Science Standards.</w:t>
      </w:r>
      <w:r w:rsidR="00CC6CA9">
        <w:rPr>
          <w:rFonts w:ascii="Trebuchet MS" w:hAnsi="Trebuchet MS"/>
        </w:rPr>
        <w:t xml:space="preserve"> Test results</w:t>
      </w:r>
      <w:r w:rsidR="00CC6CA9" w:rsidRPr="00CC6CA9">
        <w:rPr>
          <w:rFonts w:ascii="Trebuchet MS" w:hAnsi="Trebuchet MS"/>
        </w:rPr>
        <w:t xml:space="preserve"> </w:t>
      </w:r>
      <w:r w:rsidR="00CC6CA9" w:rsidRPr="00CC6CA9">
        <w:rPr>
          <w:rFonts w:ascii="Trebuchet MS" w:hAnsi="Trebuchet MS"/>
          <w:highlight w:val="yellow"/>
        </w:rPr>
        <w:t>will not affect a school’s AYP (they never have) and most likely will not affect a school’s API, which will likely be frozen for two years (until 2017).</w:t>
      </w:r>
      <w:r w:rsidR="00CC6CA9" w:rsidRPr="00CC6CA9">
        <w:rPr>
          <w:rFonts w:ascii="Trebuchet MS" w:hAnsi="Trebuchet MS"/>
        </w:rPr>
        <w:t xml:space="preserve"> </w:t>
      </w:r>
    </w:p>
    <w:p w14:paraId="7A0915B7" w14:textId="77EF5770" w:rsidR="0056392E" w:rsidRPr="005A01A9" w:rsidRDefault="0056392E" w:rsidP="0056392E">
      <w:pPr>
        <w:pStyle w:val="NormalWeb"/>
        <w:jc w:val="both"/>
        <w:rPr>
          <w:rFonts w:ascii="Trebuchet MS" w:eastAsia="Times New Roman" w:hAnsi="Trebuchet MS"/>
        </w:rPr>
      </w:pPr>
      <w:r w:rsidRPr="005A01A9">
        <w:rPr>
          <w:rFonts w:ascii="Trebuchet MS" w:eastAsia="Times New Roman" w:hAnsi="Trebuchet MS"/>
          <w:i/>
        </w:rPr>
        <w:t>November 6, 2013</w:t>
      </w:r>
      <w:r w:rsidRPr="005A01A9">
        <w:rPr>
          <w:rFonts w:ascii="Trebuchet MS" w:eastAsia="Times New Roman" w:hAnsi="Trebuchet MS"/>
        </w:rPr>
        <w:t xml:space="preserve">, State Board of Education </w:t>
      </w:r>
      <w:r w:rsidRPr="00A810F1">
        <w:rPr>
          <w:rFonts w:ascii="Trebuchet MS" w:eastAsia="Times New Roman" w:hAnsi="Trebuchet MS"/>
          <w:highlight w:val="yellow"/>
        </w:rPr>
        <w:t>approved a preferred model for middle grade learning progressions</w:t>
      </w:r>
      <w:r w:rsidRPr="005A01A9">
        <w:rPr>
          <w:rFonts w:ascii="Trebuchet MS" w:eastAsia="Times New Roman" w:hAnsi="Trebuchet MS"/>
        </w:rPr>
        <w:t>, which integrate</w:t>
      </w:r>
      <w:r>
        <w:rPr>
          <w:rFonts w:ascii="Trebuchet MS" w:eastAsia="Times New Roman" w:hAnsi="Trebuchet MS"/>
        </w:rPr>
        <w:t>s</w:t>
      </w:r>
      <w:r w:rsidRPr="005A01A9">
        <w:rPr>
          <w:rFonts w:ascii="Trebuchet MS" w:eastAsia="Times New Roman" w:hAnsi="Trebuchet MS"/>
        </w:rPr>
        <w:t xml:space="preserve"> science instruction. </w:t>
      </w:r>
      <w:r w:rsidR="00E44F3C">
        <w:rPr>
          <w:rFonts w:ascii="Trebuchet MS" w:eastAsia="Times New Roman" w:hAnsi="Trebuchet MS"/>
        </w:rPr>
        <w:t xml:space="preserve">This </w:t>
      </w:r>
      <w:r w:rsidR="00E44F3C" w:rsidRPr="00E44F3C">
        <w:rPr>
          <w:rFonts w:ascii="Trebuchet MS" w:eastAsia="Times New Roman" w:hAnsi="Trebuchet MS"/>
        </w:rPr>
        <w:t xml:space="preserve">preferred integrated learning progression </w:t>
      </w:r>
      <w:r w:rsidR="00E44F3C">
        <w:rPr>
          <w:rFonts w:ascii="Trebuchet MS" w:eastAsia="Times New Roman" w:hAnsi="Trebuchet MS"/>
        </w:rPr>
        <w:t>also shares a close alignment the</w:t>
      </w:r>
      <w:r w:rsidR="00E44F3C" w:rsidRPr="00E44F3C">
        <w:rPr>
          <w:rFonts w:ascii="Trebuchet MS" w:eastAsia="Times New Roman" w:hAnsi="Trebuchet MS"/>
        </w:rPr>
        <w:t xml:space="preserve"> Common Core math </w:t>
      </w:r>
      <w:r w:rsidR="00BC7B8A">
        <w:rPr>
          <w:rFonts w:ascii="Trebuchet MS" w:eastAsia="Times New Roman" w:hAnsi="Trebuchet MS"/>
        </w:rPr>
        <w:t>sequence</w:t>
      </w:r>
      <w:r w:rsidR="00E44F3C" w:rsidRPr="00E44F3C">
        <w:rPr>
          <w:rFonts w:ascii="Trebuchet MS" w:eastAsia="Times New Roman" w:hAnsi="Trebuchet MS"/>
        </w:rPr>
        <w:t>.</w:t>
      </w:r>
      <w:r w:rsidR="00E44F3C">
        <w:rPr>
          <w:rFonts w:ascii="Trebuchet MS" w:eastAsia="Times New Roman" w:hAnsi="Trebuchet MS"/>
        </w:rPr>
        <w:t xml:space="preserve"> </w:t>
      </w:r>
      <w:r w:rsidRPr="005A01A9">
        <w:rPr>
          <w:rFonts w:ascii="Trebuchet MS" w:eastAsia="Times New Roman" w:hAnsi="Trebuchet MS"/>
        </w:rPr>
        <w:t xml:space="preserve">The Board also requested the California Department of Education reconvene the </w:t>
      </w:r>
      <w:hyperlink r:id="rId9" w:history="1">
        <w:r w:rsidRPr="00340617">
          <w:rPr>
            <w:rStyle w:val="Hyperlink"/>
            <w:rFonts w:ascii="Trebuchet MS" w:eastAsia="Times New Roman" w:hAnsi="Trebuchet MS"/>
            <w:i/>
          </w:rPr>
          <w:t>Science Expert Panel</w:t>
        </w:r>
      </w:hyperlink>
      <w:r w:rsidRPr="005A01A9">
        <w:rPr>
          <w:rFonts w:ascii="Trebuchet MS" w:eastAsia="Times New Roman" w:hAnsi="Trebuchet MS"/>
        </w:rPr>
        <w:t xml:space="preserve"> </w:t>
      </w:r>
      <w:r w:rsidR="00340617">
        <w:rPr>
          <w:rFonts w:ascii="Trebuchet MS" w:eastAsia="Times New Roman" w:hAnsi="Trebuchet MS"/>
        </w:rPr>
        <w:t xml:space="preserve">(SEP) </w:t>
      </w:r>
      <w:r w:rsidRPr="005A01A9">
        <w:rPr>
          <w:rFonts w:ascii="Trebuchet MS" w:eastAsia="Times New Roman" w:hAnsi="Trebuchet MS"/>
        </w:rPr>
        <w:t xml:space="preserve">to develop an alternative model of science instruction that is specific to each middle grade </w:t>
      </w:r>
      <w:r w:rsidRPr="0056392E">
        <w:rPr>
          <w:rFonts w:ascii="Trebuchet MS" w:eastAsia="Times New Roman" w:hAnsi="Trebuchet MS"/>
        </w:rPr>
        <w:t>level. On December 4-5, 2013, the SEP met to develop an alternative discipline specific model for middle grades 6-8</w:t>
      </w:r>
      <w:r>
        <w:rPr>
          <w:rFonts w:eastAsia="Times New Roman"/>
        </w:rPr>
        <w:t xml:space="preserve">. </w:t>
      </w:r>
      <w:r w:rsidR="00BC7B8A">
        <w:rPr>
          <w:rFonts w:ascii="Trebuchet MS" w:eastAsia="Times New Roman" w:hAnsi="Trebuchet MS"/>
        </w:rPr>
        <w:t xml:space="preserve">The </w:t>
      </w:r>
      <w:r w:rsidR="00BC7B8A" w:rsidRPr="00BC7B8A">
        <w:rPr>
          <w:rFonts w:ascii="Trebuchet MS" w:eastAsia="Times New Roman" w:hAnsi="Trebuchet MS"/>
        </w:rPr>
        <w:t xml:space="preserve">CDE estimates the </w:t>
      </w:r>
      <w:r w:rsidR="00BC7B8A" w:rsidRPr="00BC7B8A">
        <w:rPr>
          <w:rFonts w:ascii="Trebuchet MS" w:eastAsia="Times New Roman" w:hAnsi="Trebuchet MS"/>
          <w:highlight w:val="yellow"/>
        </w:rPr>
        <w:t>alternate learning progression will be available by March 2014 at the soonest</w:t>
      </w:r>
      <w:r w:rsidR="00BC7B8A" w:rsidRPr="00BC7B8A">
        <w:rPr>
          <w:rFonts w:ascii="Trebuchet MS" w:eastAsia="Times New Roman" w:hAnsi="Trebuchet MS"/>
        </w:rPr>
        <w:t xml:space="preserve">, though specifics still need to be determined. </w:t>
      </w:r>
      <w:r w:rsidR="00BC7B8A">
        <w:rPr>
          <w:rFonts w:ascii="Trebuchet MS" w:eastAsia="Times New Roman" w:hAnsi="Trebuchet MS"/>
        </w:rPr>
        <w:t>At that time d</w:t>
      </w:r>
      <w:r w:rsidR="00406421" w:rsidRPr="00406421">
        <w:rPr>
          <w:rFonts w:ascii="Trebuchet MS" w:eastAsia="Times New Roman" w:hAnsi="Trebuchet MS"/>
        </w:rPr>
        <w:t>istricts will have the option to choose what best meets the needs of their students.</w:t>
      </w:r>
      <w:r w:rsidR="00BC7B8A">
        <w:rPr>
          <w:rFonts w:ascii="Trebuchet MS" w:eastAsia="Times New Roman" w:hAnsi="Trebuchet MS"/>
        </w:rPr>
        <w:t xml:space="preserve"> </w:t>
      </w:r>
      <w:r w:rsidR="00BC7B8A" w:rsidRPr="00BC7B8A">
        <w:rPr>
          <w:rFonts w:ascii="Trebuchet MS" w:eastAsia="Times New Roman" w:hAnsi="Trebuchet MS"/>
        </w:rPr>
        <w:t xml:space="preserve">As </w:t>
      </w:r>
      <w:r w:rsidR="00BC7B8A">
        <w:rPr>
          <w:rFonts w:ascii="Trebuchet MS" w:eastAsia="Times New Roman" w:hAnsi="Trebuchet MS"/>
        </w:rPr>
        <w:t xml:space="preserve">with </w:t>
      </w:r>
      <w:r w:rsidR="00BC7B8A" w:rsidRPr="00BC7B8A">
        <w:rPr>
          <w:rFonts w:ascii="Trebuchet MS" w:eastAsia="Times New Roman" w:hAnsi="Trebuchet MS"/>
        </w:rPr>
        <w:t>the assessment used with Common Core, the new science assessment</w:t>
      </w:r>
      <w:r w:rsidR="00BC7B8A">
        <w:rPr>
          <w:rFonts w:ascii="Trebuchet MS" w:eastAsia="Times New Roman" w:hAnsi="Trebuchet MS"/>
        </w:rPr>
        <w:t>s developed for the NGSS</w:t>
      </w:r>
      <w:r w:rsidR="00BC7B8A" w:rsidRPr="00BC7B8A">
        <w:rPr>
          <w:rFonts w:ascii="Trebuchet MS" w:eastAsia="Times New Roman" w:hAnsi="Trebuchet MS"/>
        </w:rPr>
        <w:t xml:space="preserve"> </w:t>
      </w:r>
      <w:r w:rsidR="00BC7B8A" w:rsidRPr="00BC7B8A">
        <w:rPr>
          <w:rFonts w:ascii="Trebuchet MS" w:eastAsia="Times New Roman" w:hAnsi="Trebuchet MS"/>
          <w:highlight w:val="yellow"/>
        </w:rPr>
        <w:t>might be built using an integrated sequence with the various learning progressions in mind</w:t>
      </w:r>
      <w:r w:rsidR="00BC7B8A" w:rsidRPr="00BC7B8A">
        <w:rPr>
          <w:rFonts w:ascii="Trebuchet MS" w:eastAsia="Times New Roman" w:hAnsi="Trebuchet MS"/>
        </w:rPr>
        <w:t xml:space="preserve"> in order to inform future instruction, </w:t>
      </w:r>
      <w:r w:rsidR="00BC7B8A">
        <w:rPr>
          <w:rFonts w:ascii="Trebuchet MS" w:eastAsia="Times New Roman" w:hAnsi="Trebuchet MS"/>
        </w:rPr>
        <w:t>(this decision will have a bearing on the prudence of the course progression model that is ultimately chosen at the district level</w:t>
      </w:r>
      <w:r w:rsidR="00FE3798">
        <w:rPr>
          <w:rFonts w:ascii="Trebuchet MS" w:eastAsia="Times New Roman" w:hAnsi="Trebuchet MS"/>
        </w:rPr>
        <w:t xml:space="preserve"> so we </w:t>
      </w:r>
      <w:r w:rsidR="00FE3798" w:rsidRPr="00FE3798">
        <w:rPr>
          <w:rFonts w:ascii="Trebuchet MS" w:eastAsia="Times New Roman" w:hAnsi="Trebuchet MS"/>
        </w:rPr>
        <w:t xml:space="preserve">may want to hold off on discussions about which learning progression best suits </w:t>
      </w:r>
      <w:r w:rsidR="00FE3798">
        <w:rPr>
          <w:rFonts w:ascii="Trebuchet MS" w:eastAsia="Times New Roman" w:hAnsi="Trebuchet MS"/>
        </w:rPr>
        <w:t>our school</w:t>
      </w:r>
      <w:r w:rsidR="00FE3798" w:rsidRPr="00FE3798">
        <w:rPr>
          <w:rFonts w:ascii="Trebuchet MS" w:eastAsia="Times New Roman" w:hAnsi="Trebuchet MS"/>
        </w:rPr>
        <w:t xml:space="preserve"> until more is known about assessments. Knowing the direction the assessments will take may h</w:t>
      </w:r>
      <w:r w:rsidR="00FE3798">
        <w:rPr>
          <w:rFonts w:ascii="Trebuchet MS" w:eastAsia="Times New Roman" w:hAnsi="Trebuchet MS"/>
        </w:rPr>
        <w:t>elp inform that decision</w:t>
      </w:r>
      <w:r w:rsidR="00BC7B8A">
        <w:rPr>
          <w:rFonts w:ascii="Trebuchet MS" w:eastAsia="Times New Roman" w:hAnsi="Trebuchet MS"/>
        </w:rPr>
        <w:t>)</w:t>
      </w:r>
      <w:r w:rsidR="00BC7B8A" w:rsidRPr="00BC7B8A">
        <w:rPr>
          <w:rFonts w:ascii="Trebuchet MS" w:eastAsia="Times New Roman" w:hAnsi="Trebuchet MS"/>
        </w:rPr>
        <w:t xml:space="preserve">. </w:t>
      </w:r>
    </w:p>
    <w:p w14:paraId="42D41D24" w14:textId="77777777" w:rsidR="00EA7F4F" w:rsidRDefault="00EA7F4F" w:rsidP="006F0F56">
      <w:pPr>
        <w:pStyle w:val="NormalWeb"/>
        <w:jc w:val="both"/>
        <w:rPr>
          <w:rFonts w:ascii="Trebuchet MS" w:hAnsi="Trebuchet MS"/>
        </w:rPr>
      </w:pPr>
    </w:p>
    <w:p w14:paraId="5E6ECF09" w14:textId="77777777" w:rsidR="00EA7F4F" w:rsidRDefault="00EA7F4F" w:rsidP="006F0F56">
      <w:pPr>
        <w:pStyle w:val="NormalWeb"/>
        <w:jc w:val="both"/>
        <w:rPr>
          <w:rFonts w:ascii="Trebuchet MS" w:hAnsi="Trebuchet MS"/>
        </w:rPr>
      </w:pPr>
    </w:p>
    <w:p w14:paraId="2231B1E1" w14:textId="1BC68223" w:rsidR="006F0F56" w:rsidRPr="006F0F56" w:rsidRDefault="006F0F56" w:rsidP="006F0F56">
      <w:pPr>
        <w:pStyle w:val="NormalWeb"/>
        <w:jc w:val="both"/>
        <w:rPr>
          <w:rFonts w:ascii="Trebuchet MS" w:hAnsi="Trebuchet MS"/>
        </w:rPr>
      </w:pPr>
      <w:r w:rsidRPr="006F0F56">
        <w:rPr>
          <w:rFonts w:ascii="Trebuchet MS" w:hAnsi="Trebuchet MS"/>
        </w:rPr>
        <w:lastRenderedPageBreak/>
        <w:t>The</w:t>
      </w:r>
      <w:r w:rsidR="0056392E">
        <w:rPr>
          <w:rFonts w:ascii="Trebuchet MS" w:hAnsi="Trebuchet MS"/>
        </w:rPr>
        <w:t xml:space="preserve"> following</w:t>
      </w:r>
      <w:r w:rsidRPr="006F0F56">
        <w:rPr>
          <w:rFonts w:ascii="Trebuchet MS" w:hAnsi="Trebuchet MS"/>
        </w:rPr>
        <w:t xml:space="preserve"> documents provide middle school educators </w:t>
      </w:r>
      <w:r w:rsidRPr="006F0F56">
        <w:rPr>
          <w:rFonts w:ascii="Trebuchet MS" w:hAnsi="Trebuchet MS"/>
          <w:highlight w:val="yellow"/>
        </w:rPr>
        <w:t>the rationale</w:t>
      </w:r>
      <w:r w:rsidRPr="006F0F56">
        <w:rPr>
          <w:rFonts w:ascii="Trebuchet MS" w:hAnsi="Trebuchet MS"/>
        </w:rPr>
        <w:t xml:space="preserve"> for the middle school configuration of proposed standards. The documents </w:t>
      </w:r>
      <w:r w:rsidR="00340617">
        <w:rPr>
          <w:rFonts w:ascii="Trebuchet MS" w:hAnsi="Trebuchet MS"/>
        </w:rPr>
        <w:t xml:space="preserve">linked below </w:t>
      </w:r>
      <w:r w:rsidRPr="006F0F56">
        <w:rPr>
          <w:rFonts w:ascii="Trebuchet MS" w:hAnsi="Trebuchet MS"/>
        </w:rPr>
        <w:t xml:space="preserve">also describe the </w:t>
      </w:r>
      <w:r w:rsidRPr="006F0F56">
        <w:rPr>
          <w:rFonts w:ascii="Trebuchet MS" w:hAnsi="Trebuchet MS"/>
          <w:highlight w:val="yellow"/>
        </w:rPr>
        <w:t>learning progressions for each grade level</w:t>
      </w:r>
      <w:r w:rsidRPr="006F0F56">
        <w:rPr>
          <w:rFonts w:ascii="Trebuchet MS" w:hAnsi="Trebuchet MS"/>
        </w:rPr>
        <w:t>.</w:t>
      </w:r>
      <w:r w:rsidR="0056392E">
        <w:rPr>
          <w:rFonts w:ascii="Trebuchet MS" w:hAnsi="Trebuchet MS"/>
        </w:rPr>
        <w:t xml:space="preserve"> </w:t>
      </w:r>
      <w:r w:rsidR="00340617">
        <w:rPr>
          <w:rStyle w:val="FootnoteReference"/>
          <w:rFonts w:ascii="Trebuchet MS" w:hAnsi="Trebuchet MS"/>
        </w:rPr>
        <w:footnoteReference w:id="2"/>
      </w:r>
    </w:p>
    <w:p w14:paraId="6781D68F" w14:textId="77777777" w:rsidR="006F0F56" w:rsidRPr="006F0F56" w:rsidRDefault="000C3F02" w:rsidP="006F0F56">
      <w:pPr>
        <w:pStyle w:val="NormalWeb"/>
        <w:numPr>
          <w:ilvl w:val="0"/>
          <w:numId w:val="6"/>
        </w:numPr>
        <w:jc w:val="both"/>
        <w:rPr>
          <w:rFonts w:ascii="Trebuchet MS" w:hAnsi="Trebuchet MS"/>
        </w:rPr>
      </w:pPr>
      <w:hyperlink r:id="rId10" w:history="1">
        <w:r w:rsidR="006F0F56" w:rsidRPr="006F0F56">
          <w:rPr>
            <w:rStyle w:val="Hyperlink"/>
            <w:rFonts w:ascii="Trebuchet MS" w:hAnsi="Trebuchet MS"/>
          </w:rPr>
          <w:t>Sixth Grade</w:t>
        </w:r>
      </w:hyperlink>
      <w:r w:rsidR="006F0F56" w:rsidRPr="006F0F56">
        <w:rPr>
          <w:rFonts w:ascii="Trebuchet MS" w:hAnsi="Trebuchet MS"/>
        </w:rPr>
        <w:t xml:space="preserve"> | </w:t>
      </w:r>
      <w:hyperlink r:id="rId11" w:history="1">
        <w:r w:rsidR="006F0F56" w:rsidRPr="006F0F56">
          <w:rPr>
            <w:rStyle w:val="Hyperlink"/>
            <w:rFonts w:ascii="Trebuchet MS" w:hAnsi="Trebuchet MS"/>
          </w:rPr>
          <w:t>DOC</w:t>
        </w:r>
      </w:hyperlink>
    </w:p>
    <w:p w14:paraId="7B111346" w14:textId="77777777" w:rsidR="006F0F56" w:rsidRPr="006F0F56" w:rsidRDefault="000C3F02" w:rsidP="006F0F56">
      <w:pPr>
        <w:pStyle w:val="NormalWeb"/>
        <w:numPr>
          <w:ilvl w:val="0"/>
          <w:numId w:val="6"/>
        </w:numPr>
        <w:jc w:val="both"/>
        <w:rPr>
          <w:rFonts w:ascii="Trebuchet MS" w:hAnsi="Trebuchet MS"/>
        </w:rPr>
      </w:pPr>
      <w:hyperlink r:id="rId12" w:history="1">
        <w:r w:rsidR="006F0F56" w:rsidRPr="006F0F56">
          <w:rPr>
            <w:rStyle w:val="Hyperlink"/>
            <w:rFonts w:ascii="Trebuchet MS" w:hAnsi="Trebuchet MS"/>
          </w:rPr>
          <w:t>Seventh Grade</w:t>
        </w:r>
      </w:hyperlink>
      <w:r w:rsidR="006F0F56" w:rsidRPr="006F0F56">
        <w:rPr>
          <w:rFonts w:ascii="Trebuchet MS" w:hAnsi="Trebuchet MS"/>
        </w:rPr>
        <w:t xml:space="preserve"> | </w:t>
      </w:r>
      <w:hyperlink r:id="rId13" w:history="1">
        <w:r w:rsidR="006F0F56" w:rsidRPr="006F0F56">
          <w:rPr>
            <w:rStyle w:val="Hyperlink"/>
            <w:rFonts w:ascii="Trebuchet MS" w:hAnsi="Trebuchet MS"/>
          </w:rPr>
          <w:t>DOC</w:t>
        </w:r>
      </w:hyperlink>
    </w:p>
    <w:p w14:paraId="1A0995FD" w14:textId="409E80F8" w:rsidR="0056392E" w:rsidRPr="00340617" w:rsidRDefault="000C3F02" w:rsidP="005A01A9">
      <w:pPr>
        <w:pStyle w:val="NormalWeb"/>
        <w:numPr>
          <w:ilvl w:val="0"/>
          <w:numId w:val="6"/>
        </w:numPr>
        <w:jc w:val="both"/>
        <w:rPr>
          <w:rFonts w:ascii="Trebuchet MS" w:hAnsi="Trebuchet MS"/>
        </w:rPr>
      </w:pPr>
      <w:hyperlink r:id="rId14" w:history="1">
        <w:r w:rsidR="006F0F56" w:rsidRPr="006F0F56">
          <w:rPr>
            <w:rStyle w:val="Hyperlink"/>
            <w:rFonts w:ascii="Trebuchet MS" w:hAnsi="Trebuchet MS"/>
          </w:rPr>
          <w:t>Eighth Grade</w:t>
        </w:r>
      </w:hyperlink>
      <w:r w:rsidR="006F0F56" w:rsidRPr="006F0F56">
        <w:rPr>
          <w:rFonts w:ascii="Trebuchet MS" w:hAnsi="Trebuchet MS"/>
        </w:rPr>
        <w:t xml:space="preserve"> | </w:t>
      </w:r>
      <w:hyperlink r:id="rId15" w:history="1">
        <w:r w:rsidR="006F0F56" w:rsidRPr="006F0F56">
          <w:rPr>
            <w:rStyle w:val="Hyperlink"/>
            <w:rFonts w:ascii="Trebuchet MS" w:hAnsi="Trebuchet MS"/>
          </w:rPr>
          <w:t>DOC</w:t>
        </w:r>
      </w:hyperlink>
    </w:p>
    <w:p w14:paraId="06A667D3" w14:textId="1B7E501C" w:rsidR="006F0F56" w:rsidRPr="005A01A9" w:rsidRDefault="006F0F56" w:rsidP="005A01A9">
      <w:pPr>
        <w:pStyle w:val="NormalWeb"/>
        <w:jc w:val="both"/>
        <w:rPr>
          <w:rFonts w:ascii="Trebuchet MS" w:hAnsi="Trebuchet MS"/>
        </w:rPr>
      </w:pPr>
      <w:r>
        <w:rPr>
          <w:rFonts w:ascii="Trebuchet MS" w:hAnsi="Trebuchet MS"/>
        </w:rPr>
        <w:t xml:space="preserve">The </w:t>
      </w:r>
      <w:r w:rsidR="00053950">
        <w:rPr>
          <w:rFonts w:ascii="Trebuchet MS" w:hAnsi="Trebuchet MS"/>
        </w:rPr>
        <w:t xml:space="preserve">“Model Course Maps” for three possible </w:t>
      </w:r>
      <w:r>
        <w:rPr>
          <w:rFonts w:ascii="Trebuchet MS" w:hAnsi="Trebuchet MS"/>
        </w:rPr>
        <w:t>course</w:t>
      </w:r>
      <w:r w:rsidR="00053950">
        <w:rPr>
          <w:rFonts w:ascii="Trebuchet MS" w:hAnsi="Trebuchet MS"/>
        </w:rPr>
        <w:t xml:space="preserve"> designs models (conceptual/integrated, domain and modified domain) and the</w:t>
      </w:r>
      <w:r>
        <w:rPr>
          <w:rFonts w:ascii="Trebuchet MS" w:hAnsi="Trebuchet MS"/>
        </w:rPr>
        <w:t xml:space="preserve"> specific Disciplinary Core Ideas (DCIs) for each high school (9-12</w:t>
      </w:r>
      <w:r w:rsidRPr="006F0F56">
        <w:rPr>
          <w:rFonts w:ascii="Trebuchet MS" w:hAnsi="Trebuchet MS"/>
          <w:vertAlign w:val="superscript"/>
        </w:rPr>
        <w:t>th</w:t>
      </w:r>
      <w:r>
        <w:rPr>
          <w:rFonts w:ascii="Trebuchet MS" w:hAnsi="Trebuchet MS"/>
        </w:rPr>
        <w:t xml:space="preserve"> grade) course</w:t>
      </w:r>
      <w:r w:rsidR="00053950">
        <w:rPr>
          <w:rFonts w:ascii="Trebuchet MS" w:hAnsi="Trebuchet MS"/>
        </w:rPr>
        <w:t xml:space="preserve"> mapped</w:t>
      </w:r>
      <w:r>
        <w:rPr>
          <w:rFonts w:ascii="Trebuchet MS" w:hAnsi="Trebuchet MS"/>
        </w:rPr>
        <w:t>, for now, as proposed and laid out in “</w:t>
      </w:r>
      <w:r w:rsidRPr="006F0F56">
        <w:rPr>
          <w:rFonts w:ascii="Trebuchet MS" w:hAnsi="Trebuchet MS"/>
        </w:rPr>
        <w:fldChar w:fldCharType="begin"/>
      </w:r>
      <w:r w:rsidRPr="006F0F56">
        <w:rPr>
          <w:rFonts w:ascii="Trebuchet MS" w:hAnsi="Trebuchet MS"/>
        </w:rPr>
        <w:instrText xml:space="preserve"> HYPERLINK "http://www.nap.edu/catalog.php?record_id=13165" \t "_blank" </w:instrText>
      </w:r>
      <w:r w:rsidRPr="006F0F56">
        <w:rPr>
          <w:rFonts w:ascii="Trebuchet MS" w:hAnsi="Trebuchet MS"/>
        </w:rPr>
        <w:fldChar w:fldCharType="separate"/>
      </w:r>
      <w:r w:rsidRPr="006F0F56">
        <w:rPr>
          <w:rStyle w:val="Hyperlink"/>
          <w:rFonts w:ascii="Trebuchet MS" w:hAnsi="Trebuchet MS"/>
        </w:rPr>
        <w:t xml:space="preserve">A Framework for K-12 Science Education: Practices, Crosscutting </w:t>
      </w:r>
      <w:r w:rsidR="00053950">
        <w:rPr>
          <w:rStyle w:val="Hyperlink"/>
          <w:rFonts w:ascii="Trebuchet MS" w:hAnsi="Trebuchet MS"/>
        </w:rPr>
        <w:t>Concepts, and Core Ideas (2012</w:t>
      </w:r>
      <w:r w:rsidRPr="006F0F56">
        <w:rPr>
          <w:rStyle w:val="Hyperlink"/>
          <w:rFonts w:ascii="Trebuchet MS" w:hAnsi="Trebuchet MS"/>
        </w:rPr>
        <w:t>)</w:t>
      </w:r>
      <w:r w:rsidRPr="006F0F56">
        <w:rPr>
          <w:rFonts w:ascii="Trebuchet MS" w:hAnsi="Trebuchet MS"/>
        </w:rPr>
        <w:fldChar w:fldCharType="end"/>
      </w:r>
      <w:r>
        <w:rPr>
          <w:rFonts w:ascii="Trebuchet MS" w:hAnsi="Trebuchet MS"/>
        </w:rPr>
        <w:t xml:space="preserve">” and the NGSS </w:t>
      </w:r>
      <w:r w:rsidR="000975AF">
        <w:rPr>
          <w:rFonts w:ascii="Trebuchet MS" w:hAnsi="Trebuchet MS"/>
        </w:rPr>
        <w:t xml:space="preserve">(available as an </w:t>
      </w:r>
      <w:hyperlink r:id="rId16" w:history="1">
        <w:r w:rsidR="000975AF" w:rsidRPr="000975AF">
          <w:rPr>
            <w:rStyle w:val="Hyperlink"/>
            <w:rFonts w:ascii="Trebuchet MS" w:hAnsi="Trebuchet MS"/>
          </w:rPr>
          <w:t>online e-book</w:t>
        </w:r>
      </w:hyperlink>
      <w:r w:rsidR="000975AF">
        <w:rPr>
          <w:rFonts w:ascii="Trebuchet MS" w:hAnsi="Trebuchet MS"/>
        </w:rPr>
        <w:t xml:space="preserve"> &amp; an </w:t>
      </w:r>
      <w:hyperlink r:id="rId17" w:history="1">
        <w:r w:rsidR="000975AF" w:rsidRPr="000975AF">
          <w:rPr>
            <w:rStyle w:val="Hyperlink"/>
            <w:rFonts w:ascii="Trebuchet MS" w:hAnsi="Trebuchet MS"/>
          </w:rPr>
          <w:t>interactive web site</w:t>
        </w:r>
      </w:hyperlink>
      <w:r w:rsidR="000975AF">
        <w:rPr>
          <w:rFonts w:ascii="Trebuchet MS" w:hAnsi="Trebuchet MS"/>
        </w:rPr>
        <w:t xml:space="preserve">) </w:t>
      </w:r>
      <w:r>
        <w:rPr>
          <w:rFonts w:ascii="Trebuchet MS" w:hAnsi="Trebuchet MS"/>
        </w:rPr>
        <w:t>can be found</w:t>
      </w:r>
      <w:r w:rsidR="00053950">
        <w:rPr>
          <w:rFonts w:ascii="Trebuchet MS" w:hAnsi="Trebuchet MS"/>
        </w:rPr>
        <w:t xml:space="preserve"> at this link for </w:t>
      </w:r>
      <w:hyperlink r:id="rId18" w:history="1">
        <w:r w:rsidR="00053950" w:rsidRPr="00053950">
          <w:rPr>
            <w:rStyle w:val="Hyperlink"/>
            <w:rFonts w:ascii="Trebuchet MS" w:hAnsi="Trebuchet MS"/>
          </w:rPr>
          <w:t>Appendix K</w:t>
        </w:r>
      </w:hyperlink>
      <w:r w:rsidR="00053950">
        <w:rPr>
          <w:rFonts w:ascii="Trebuchet MS" w:hAnsi="Trebuchet MS"/>
        </w:rPr>
        <w:t xml:space="preserve"> of the NGSS document. Currently, the </w:t>
      </w:r>
      <w:r w:rsidR="0056392E">
        <w:rPr>
          <w:rFonts w:ascii="Trebuchet MS" w:hAnsi="Trebuchet MS"/>
        </w:rPr>
        <w:t>AAE’s course</w:t>
      </w:r>
      <w:r w:rsidR="00083A90">
        <w:rPr>
          <w:rFonts w:ascii="Trebuchet MS" w:hAnsi="Trebuchet MS"/>
        </w:rPr>
        <w:t xml:space="preserve"> design resembles a “hybrid” of their “domain” and “modified domain” models</w:t>
      </w:r>
      <w:r w:rsidR="008B1051">
        <w:rPr>
          <w:rFonts w:ascii="Trebuchet MS" w:hAnsi="Trebuchet MS"/>
        </w:rPr>
        <w:t>, which the NGSS call</w:t>
      </w:r>
      <w:r w:rsidR="0056392E">
        <w:rPr>
          <w:rFonts w:ascii="Trebuchet MS" w:hAnsi="Trebuchet MS"/>
        </w:rPr>
        <w:t>s</w:t>
      </w:r>
      <w:r w:rsidR="008B1051">
        <w:rPr>
          <w:rFonts w:ascii="Trebuchet MS" w:hAnsi="Trebuchet MS"/>
        </w:rPr>
        <w:t xml:space="preserve"> the “Revised </w:t>
      </w:r>
      <w:r w:rsidR="00721EFC">
        <w:rPr>
          <w:rFonts w:ascii="Trebuchet MS" w:hAnsi="Trebuchet MS"/>
        </w:rPr>
        <w:t xml:space="preserve">Modified Science Domains Model”. </w:t>
      </w:r>
      <w:r w:rsidR="0056392E">
        <w:rPr>
          <w:rFonts w:ascii="Trebuchet MS" w:hAnsi="Trebuchet MS"/>
        </w:rPr>
        <w:t>The</w:t>
      </w:r>
      <w:r w:rsidR="00721EFC">
        <w:rPr>
          <w:rFonts w:ascii="Trebuchet MS" w:hAnsi="Trebuchet MS"/>
        </w:rPr>
        <w:t xml:space="preserve"> description </w:t>
      </w:r>
      <w:r w:rsidR="0056392E">
        <w:rPr>
          <w:rFonts w:ascii="Trebuchet MS" w:hAnsi="Trebuchet MS"/>
        </w:rPr>
        <w:t xml:space="preserve">of this model </w:t>
      </w:r>
      <w:r w:rsidR="00721EFC">
        <w:rPr>
          <w:rFonts w:ascii="Trebuchet MS" w:hAnsi="Trebuchet MS"/>
        </w:rPr>
        <w:t xml:space="preserve">starts on page 31 of </w:t>
      </w:r>
      <w:hyperlink r:id="rId19" w:history="1">
        <w:r w:rsidR="0056392E" w:rsidRPr="00053950">
          <w:rPr>
            <w:rStyle w:val="Hyperlink"/>
            <w:rFonts w:ascii="Trebuchet MS" w:hAnsi="Trebuchet MS"/>
          </w:rPr>
          <w:t>Appendix K</w:t>
        </w:r>
      </w:hyperlink>
      <w:r w:rsidR="0056392E">
        <w:rPr>
          <w:rFonts w:ascii="Trebuchet MS" w:hAnsi="Trebuchet MS"/>
        </w:rPr>
        <w:t xml:space="preserve"> </w:t>
      </w:r>
      <w:r w:rsidR="00721EFC">
        <w:rPr>
          <w:rFonts w:ascii="Trebuchet MS" w:hAnsi="Trebuchet MS"/>
        </w:rPr>
        <w:t>(rev. 8/30/13)</w:t>
      </w:r>
      <w:r w:rsidR="00083A90">
        <w:rPr>
          <w:rFonts w:ascii="Trebuchet MS" w:hAnsi="Trebuchet MS"/>
        </w:rPr>
        <w:t>.</w:t>
      </w:r>
      <w:r w:rsidR="00A13CA4">
        <w:rPr>
          <w:rFonts w:ascii="Trebuchet MS" w:hAnsi="Trebuchet MS"/>
        </w:rPr>
        <w:t xml:space="preserve"> </w:t>
      </w:r>
      <w:r w:rsidR="00A13CA4" w:rsidRPr="00A13CA4">
        <w:rPr>
          <w:rFonts w:ascii="Trebuchet MS" w:hAnsi="Trebuchet MS"/>
        </w:rPr>
        <w:br/>
        <w:t>The use of these course maps will be helpful tools to ensure all students have access to high quality science education.  However, these model maps should not be considered limits. High schools should offer opportunities to all students to further their advanced study in areas of interest to them, including Honors, Advanced Placement (AP) and STEM (Science, Technology, Engineering, and Mathematics). </w:t>
      </w:r>
    </w:p>
    <w:p w14:paraId="403612BC" w14:textId="646E9A84" w:rsidR="005A01A9" w:rsidRPr="005A01A9" w:rsidRDefault="008B1051" w:rsidP="005A01A9">
      <w:pPr>
        <w:pStyle w:val="NormalWeb"/>
        <w:jc w:val="both"/>
        <w:rPr>
          <w:rFonts w:ascii="Trebuchet MS" w:hAnsi="Trebuchet MS"/>
          <w:bCs/>
        </w:rPr>
      </w:pPr>
      <w:r>
        <w:rPr>
          <w:rFonts w:ascii="Trebuchet MS" w:hAnsi="Trebuchet MS"/>
          <w:bCs/>
        </w:rPr>
        <w:t>A</w:t>
      </w:r>
      <w:r w:rsidR="005A01A9" w:rsidRPr="005A01A9">
        <w:rPr>
          <w:rFonts w:ascii="Trebuchet MS" w:hAnsi="Trebuchet MS"/>
          <w:bCs/>
        </w:rPr>
        <w:t xml:space="preserve"> </w:t>
      </w:r>
      <w:r w:rsidR="005A01A9" w:rsidRPr="005A01A9">
        <w:rPr>
          <w:rFonts w:ascii="Trebuchet MS" w:hAnsi="Trebuchet MS"/>
          <w:bCs/>
          <w:i/>
        </w:rPr>
        <w:t>Strategic Leadership Team</w:t>
      </w:r>
      <w:r w:rsidR="005A01A9">
        <w:rPr>
          <w:rFonts w:ascii="Trebuchet MS" w:hAnsi="Trebuchet MS"/>
          <w:bCs/>
        </w:rPr>
        <w:t xml:space="preserve"> will be appointed by </w:t>
      </w:r>
      <w:proofErr w:type="spellStart"/>
      <w:r w:rsidR="005A01A9" w:rsidRPr="005A01A9">
        <w:rPr>
          <w:rFonts w:ascii="Trebuchet MS" w:hAnsi="Trebuchet MS"/>
          <w:bCs/>
        </w:rPr>
        <w:t>Torlakson</w:t>
      </w:r>
      <w:proofErr w:type="spellEnd"/>
      <w:r w:rsidR="005A01A9" w:rsidRPr="005A01A9">
        <w:rPr>
          <w:rFonts w:ascii="Trebuchet MS" w:hAnsi="Trebuchet MS"/>
          <w:bCs/>
        </w:rPr>
        <w:t xml:space="preserve"> to develop a plan to implement the NGSS. This includes a timeline for implementation, adopting a science framework, developing student assessments, and strategies for school districts.</w:t>
      </w:r>
    </w:p>
    <w:p w14:paraId="5909F3D5" w14:textId="6C7FE6BB" w:rsidR="005A01A9" w:rsidRPr="005A01A9" w:rsidRDefault="005A01A9" w:rsidP="005A01A9">
      <w:pPr>
        <w:pStyle w:val="NormalWeb"/>
        <w:jc w:val="both"/>
        <w:rPr>
          <w:rFonts w:ascii="Trebuchet MS" w:hAnsi="Trebuchet MS"/>
          <w:bCs/>
        </w:rPr>
      </w:pPr>
      <w:r w:rsidRPr="005A01A9">
        <w:rPr>
          <w:rFonts w:ascii="Trebuchet MS" w:hAnsi="Trebuchet MS"/>
          <w:bCs/>
        </w:rPr>
        <w:t>Full implementation of NGSS for California is planned to occur over several years and in the context of a continuous learning process.</w:t>
      </w:r>
    </w:p>
    <w:p w14:paraId="4BF27880" w14:textId="45225195" w:rsidR="005A01A9" w:rsidRPr="005A01A9" w:rsidRDefault="005A01A9" w:rsidP="005A01A9">
      <w:pPr>
        <w:pStyle w:val="NormalWeb"/>
        <w:jc w:val="both"/>
        <w:rPr>
          <w:rFonts w:ascii="Trebuchet MS" w:hAnsi="Trebuchet MS"/>
          <w:bCs/>
        </w:rPr>
      </w:pPr>
      <w:r w:rsidRPr="005A01A9">
        <w:rPr>
          <w:rFonts w:ascii="Trebuchet MS" w:hAnsi="Trebuchet MS"/>
          <w:bCs/>
        </w:rPr>
        <w:t>The CDE</w:t>
      </w:r>
      <w:r w:rsidR="008B1051">
        <w:rPr>
          <w:rFonts w:ascii="Trebuchet MS" w:hAnsi="Trebuchet MS"/>
          <w:bCs/>
        </w:rPr>
        <w:t xml:space="preserve">’s </w:t>
      </w:r>
      <w:r w:rsidR="008B1051" w:rsidRPr="005A01A9">
        <w:rPr>
          <w:rFonts w:ascii="Trebuchet MS" w:hAnsi="Trebuchet MS"/>
          <w:bCs/>
          <w:i/>
        </w:rPr>
        <w:t>Strategic Leadership Team</w:t>
      </w:r>
      <w:r w:rsidRPr="005A01A9">
        <w:rPr>
          <w:rFonts w:ascii="Trebuchet MS" w:hAnsi="Trebuchet MS"/>
          <w:bCs/>
        </w:rPr>
        <w:t xml:space="preserve"> identified three phases of implementation</w:t>
      </w:r>
      <w:r w:rsidR="00FE3798">
        <w:rPr>
          <w:rFonts w:ascii="Trebuchet MS" w:hAnsi="Trebuchet MS"/>
          <w:bCs/>
        </w:rPr>
        <w:t xml:space="preserve"> (though </w:t>
      </w:r>
      <w:r w:rsidR="00FE3798" w:rsidRPr="00FE3798">
        <w:rPr>
          <w:rFonts w:ascii="Trebuchet MS" w:hAnsi="Trebuchet MS"/>
          <w:bCs/>
        </w:rPr>
        <w:t>Full implementation of NGSS for California is planned to occur over several years and in the context of a continuous learning process</w:t>
      </w:r>
      <w:r w:rsidR="00FE3798">
        <w:rPr>
          <w:rFonts w:ascii="Trebuchet MS" w:hAnsi="Trebuchet MS"/>
          <w:bCs/>
        </w:rPr>
        <w:t>)</w:t>
      </w:r>
      <w:r w:rsidR="00FE3798" w:rsidRPr="00FE3798">
        <w:rPr>
          <w:rFonts w:ascii="Trebuchet MS" w:hAnsi="Trebuchet MS"/>
          <w:bCs/>
        </w:rPr>
        <w:t>.</w:t>
      </w:r>
      <w:r w:rsidRPr="005A01A9">
        <w:rPr>
          <w:rFonts w:ascii="Trebuchet MS" w:hAnsi="Trebuchet MS"/>
          <w:bCs/>
        </w:rPr>
        <w:t xml:space="preserve"> These phases: </w:t>
      </w:r>
      <w:r w:rsidRPr="008B1051">
        <w:rPr>
          <w:rFonts w:ascii="Trebuchet MS" w:hAnsi="Trebuchet MS"/>
          <w:b/>
          <w:bCs/>
          <w:i/>
        </w:rPr>
        <w:t>Awareness</w:t>
      </w:r>
      <w:r w:rsidRPr="005A01A9">
        <w:rPr>
          <w:rFonts w:ascii="Trebuchet MS" w:hAnsi="Trebuchet MS"/>
          <w:bCs/>
        </w:rPr>
        <w:t xml:space="preserve"> (2013–2015), </w:t>
      </w:r>
      <w:r w:rsidRPr="008B1051">
        <w:rPr>
          <w:rFonts w:ascii="Trebuchet MS" w:hAnsi="Trebuchet MS"/>
          <w:b/>
          <w:bCs/>
          <w:i/>
        </w:rPr>
        <w:t>Transition</w:t>
      </w:r>
      <w:r w:rsidRPr="005A01A9">
        <w:rPr>
          <w:rFonts w:ascii="Trebuchet MS" w:hAnsi="Trebuchet MS"/>
          <w:bCs/>
        </w:rPr>
        <w:t xml:space="preserve"> (2015–2016), and </w:t>
      </w:r>
      <w:r w:rsidRPr="008B1051">
        <w:rPr>
          <w:rFonts w:ascii="Trebuchet MS" w:hAnsi="Trebuchet MS"/>
          <w:b/>
          <w:bCs/>
          <w:i/>
        </w:rPr>
        <w:t>Implementation</w:t>
      </w:r>
      <w:r w:rsidRPr="005A01A9">
        <w:rPr>
          <w:rFonts w:ascii="Trebuchet MS" w:hAnsi="Trebuchet MS"/>
          <w:bCs/>
        </w:rPr>
        <w:t xml:space="preserve"> (2016–2017), are similar phases as described in the </w:t>
      </w:r>
      <w:hyperlink r:id="rId20" w:history="1">
        <w:r w:rsidRPr="005A01A9">
          <w:rPr>
            <w:rStyle w:val="Hyperlink"/>
            <w:rFonts w:ascii="Trebuchet MS" w:hAnsi="Trebuchet MS"/>
            <w:bCs/>
          </w:rPr>
          <w:t>Common Core Systems Implementation Plan for California</w:t>
        </w:r>
      </w:hyperlink>
      <w:r w:rsidRPr="005A01A9">
        <w:rPr>
          <w:rFonts w:ascii="Trebuchet MS" w:hAnsi="Trebuchet MS"/>
          <w:bCs/>
        </w:rPr>
        <w:t xml:space="preserve">. </w:t>
      </w:r>
    </w:p>
    <w:p w14:paraId="3005A4C3" w14:textId="77777777" w:rsidR="005A01A9" w:rsidRPr="005A01A9" w:rsidRDefault="005A01A9" w:rsidP="005A01A9">
      <w:pPr>
        <w:pStyle w:val="NormalWeb"/>
        <w:numPr>
          <w:ilvl w:val="0"/>
          <w:numId w:val="5"/>
        </w:numPr>
        <w:jc w:val="both"/>
        <w:rPr>
          <w:rFonts w:ascii="Trebuchet MS" w:hAnsi="Trebuchet MS"/>
          <w:bCs/>
        </w:rPr>
      </w:pPr>
      <w:r w:rsidRPr="005A01A9">
        <w:rPr>
          <w:rFonts w:ascii="Trebuchet MS" w:hAnsi="Trebuchet MS"/>
          <w:b/>
          <w:bCs/>
        </w:rPr>
        <w:t>The Awareness Phase</w:t>
      </w:r>
      <w:r w:rsidRPr="005A01A9">
        <w:rPr>
          <w:rFonts w:ascii="Trebuchet MS" w:hAnsi="Trebuchet MS"/>
          <w:bCs/>
        </w:rPr>
        <w:t xml:space="preserve"> represents an introduction to the NGSS, the initial planning of systems implementation, and establishment of collaborations.</w:t>
      </w:r>
    </w:p>
    <w:p w14:paraId="638E93A5" w14:textId="77777777" w:rsidR="005A01A9" w:rsidRPr="005A01A9" w:rsidRDefault="005A01A9" w:rsidP="005A01A9">
      <w:pPr>
        <w:pStyle w:val="NormalWeb"/>
        <w:numPr>
          <w:ilvl w:val="0"/>
          <w:numId w:val="5"/>
        </w:numPr>
        <w:jc w:val="both"/>
        <w:rPr>
          <w:rFonts w:ascii="Trebuchet MS" w:hAnsi="Trebuchet MS"/>
          <w:bCs/>
        </w:rPr>
      </w:pPr>
      <w:r w:rsidRPr="005A01A9">
        <w:rPr>
          <w:rFonts w:ascii="Trebuchet MS" w:hAnsi="Trebuchet MS"/>
          <w:b/>
          <w:bCs/>
        </w:rPr>
        <w:t>The Transition Phase</w:t>
      </w:r>
      <w:r w:rsidRPr="005A01A9">
        <w:rPr>
          <w:rFonts w:ascii="Trebuchet MS" w:hAnsi="Trebuchet MS"/>
          <w:bCs/>
        </w:rPr>
        <w:t xml:space="preserve"> is the concentration of building foundational resources, implementing needs assessments, establishing new professional learning opportunities, and expanding collaborations between all stakeholders.</w:t>
      </w:r>
    </w:p>
    <w:p w14:paraId="67B3BEB5" w14:textId="643AB529" w:rsidR="00DC3605" w:rsidRPr="00DC3605" w:rsidRDefault="005A01A9" w:rsidP="00DC3605">
      <w:pPr>
        <w:pStyle w:val="NormalWeb"/>
        <w:numPr>
          <w:ilvl w:val="0"/>
          <w:numId w:val="5"/>
        </w:numPr>
        <w:jc w:val="both"/>
        <w:rPr>
          <w:rFonts w:ascii="Trebuchet MS" w:hAnsi="Trebuchet MS"/>
          <w:bCs/>
        </w:rPr>
      </w:pPr>
      <w:r w:rsidRPr="005A01A9">
        <w:rPr>
          <w:rFonts w:ascii="Trebuchet MS" w:hAnsi="Trebuchet MS"/>
          <w:b/>
          <w:bCs/>
        </w:rPr>
        <w:t>The Implementation Phase</w:t>
      </w:r>
      <w:r w:rsidRPr="005A01A9">
        <w:rPr>
          <w:rFonts w:ascii="Trebuchet MS" w:hAnsi="Trebuchet MS"/>
          <w:bCs/>
        </w:rPr>
        <w:t xml:space="preserve"> expands the new professional learning support, fully aligns curriculum, instruction, and assessments, and effectively integrates these elements across the field.</w:t>
      </w:r>
    </w:p>
    <w:p w14:paraId="37BDB041" w14:textId="28E46E69" w:rsidR="005A01A9" w:rsidRDefault="00DC3605" w:rsidP="00DC3605">
      <w:pPr>
        <w:pStyle w:val="NormalWeb"/>
        <w:jc w:val="both"/>
        <w:rPr>
          <w:rFonts w:ascii="Trebuchet MS" w:hAnsi="Trebuchet MS"/>
          <w:bCs/>
        </w:rPr>
      </w:pPr>
      <w:r w:rsidRPr="00DC3605">
        <w:rPr>
          <w:rFonts w:ascii="Trebuchet MS" w:hAnsi="Trebuchet MS"/>
          <w:bCs/>
        </w:rPr>
        <w:t xml:space="preserve">The </w:t>
      </w:r>
      <w:r w:rsidRPr="00DC3605">
        <w:rPr>
          <w:rFonts w:ascii="Trebuchet MS" w:hAnsi="Trebuchet MS"/>
          <w:b/>
          <w:bCs/>
          <w:i/>
        </w:rPr>
        <w:t>Awareness Phase</w:t>
      </w:r>
      <w:r w:rsidRPr="00DC3605">
        <w:rPr>
          <w:rFonts w:ascii="Trebuchet MS" w:hAnsi="Trebuchet MS"/>
          <w:bCs/>
        </w:rPr>
        <w:t xml:space="preserve"> (see abov</w:t>
      </w:r>
      <w:r w:rsidR="008B1051">
        <w:rPr>
          <w:rFonts w:ascii="Trebuchet MS" w:hAnsi="Trebuchet MS"/>
          <w:bCs/>
        </w:rPr>
        <w:t xml:space="preserve">e, @ the CDE level) begins </w:t>
      </w:r>
      <w:r w:rsidRPr="00DC3605">
        <w:rPr>
          <w:rFonts w:ascii="Trebuchet MS" w:hAnsi="Trebuchet MS"/>
          <w:bCs/>
        </w:rPr>
        <w:t xml:space="preserve">and extends through 2014-2015 </w:t>
      </w:r>
    </w:p>
    <w:p w14:paraId="68800C1D" w14:textId="2048E63B" w:rsidR="00DC3605" w:rsidRPr="005A1008" w:rsidRDefault="00DC3605" w:rsidP="00DC3605">
      <w:pPr>
        <w:pStyle w:val="NormalWeb"/>
        <w:jc w:val="both"/>
        <w:rPr>
          <w:rStyle w:val="Strong"/>
          <w:rFonts w:ascii="Trebuchet MS" w:eastAsia="Times New Roman" w:hAnsi="Trebuchet MS"/>
        </w:rPr>
      </w:pPr>
      <w:r w:rsidRPr="005A1008">
        <w:rPr>
          <w:rStyle w:val="Strong"/>
          <w:rFonts w:ascii="Trebuchet MS" w:eastAsia="Times New Roman" w:hAnsi="Trebuchet MS"/>
        </w:rPr>
        <w:t>Can I (Should I) start implementing the NGSS in my classroom now?</w:t>
      </w:r>
      <w:r w:rsidR="005A1008" w:rsidRPr="005A1008">
        <w:rPr>
          <w:rStyle w:val="Strong"/>
          <w:rFonts w:ascii="Trebuchet MS" w:eastAsia="Times New Roman" w:hAnsi="Trebuchet MS"/>
        </w:rPr>
        <w:t xml:space="preserve"> [</w:t>
      </w:r>
      <w:hyperlink r:id="rId21" w:history="1">
        <w:proofErr w:type="gramStart"/>
        <w:r w:rsidR="005A1008" w:rsidRPr="005A1008">
          <w:rPr>
            <w:rStyle w:val="Hyperlink"/>
            <w:rFonts w:ascii="Trebuchet MS" w:eastAsia="Times New Roman" w:hAnsi="Trebuchet MS"/>
          </w:rPr>
          <w:t>link</w:t>
        </w:r>
        <w:proofErr w:type="gramEnd"/>
      </w:hyperlink>
      <w:r w:rsidR="005A1008" w:rsidRPr="005A1008">
        <w:rPr>
          <w:rStyle w:val="Strong"/>
          <w:rFonts w:ascii="Trebuchet MS" w:eastAsia="Times New Roman" w:hAnsi="Trebuchet MS"/>
        </w:rPr>
        <w:t>]</w:t>
      </w:r>
    </w:p>
    <w:p w14:paraId="235E2F3A" w14:textId="77777777" w:rsidR="005A1008" w:rsidRPr="005A1008" w:rsidRDefault="005A1008" w:rsidP="005A1008">
      <w:pPr>
        <w:pStyle w:val="NormalWeb"/>
        <w:ind w:left="720"/>
        <w:jc w:val="both"/>
        <w:rPr>
          <w:rFonts w:ascii="Trebuchet MS" w:eastAsia="Times New Roman" w:hAnsi="Trebuchet MS"/>
        </w:rPr>
      </w:pPr>
      <w:r w:rsidRPr="005A1008">
        <w:rPr>
          <w:rFonts w:ascii="Trebuchet MS" w:eastAsia="Times New Roman" w:hAnsi="Trebuchet MS"/>
        </w:rPr>
        <w:t>“</w:t>
      </w:r>
      <w:r w:rsidR="00DC3605" w:rsidRPr="005A1008">
        <w:rPr>
          <w:rFonts w:ascii="Trebuchet MS" w:eastAsia="Times New Roman" w:hAnsi="Trebuchet MS"/>
        </w:rPr>
        <w:t xml:space="preserve">Full implementation of the NGSS </w:t>
      </w:r>
      <w:r w:rsidR="00DC3605" w:rsidRPr="005A1008">
        <w:rPr>
          <w:rFonts w:ascii="Trebuchet MS" w:eastAsia="Times New Roman" w:hAnsi="Trebuchet MS"/>
          <w:highlight w:val="yellow"/>
        </w:rPr>
        <w:t>must be a thoughtful and deliberate</w:t>
      </w:r>
      <w:r w:rsidR="00DC3605" w:rsidRPr="005A1008">
        <w:rPr>
          <w:rFonts w:ascii="Trebuchet MS" w:eastAsia="Times New Roman" w:hAnsi="Trebuchet MS"/>
        </w:rPr>
        <w:t xml:space="preserve"> process which, in turn, </w:t>
      </w:r>
      <w:r w:rsidR="00DC3605" w:rsidRPr="005A1008">
        <w:rPr>
          <w:rFonts w:ascii="Trebuchet MS" w:eastAsia="Times New Roman" w:hAnsi="Trebuchet MS"/>
          <w:highlight w:val="yellow"/>
        </w:rPr>
        <w:t>will take several years</w:t>
      </w:r>
      <w:r w:rsidR="00DC3605" w:rsidRPr="005A1008">
        <w:rPr>
          <w:rFonts w:ascii="Trebuchet MS" w:eastAsia="Times New Roman" w:hAnsi="Trebuchet MS"/>
        </w:rPr>
        <w:t xml:space="preserve">. While </w:t>
      </w:r>
      <w:r w:rsidR="00DC3605" w:rsidRPr="005A1008">
        <w:rPr>
          <w:rFonts w:ascii="Trebuchet MS" w:eastAsia="Times New Roman" w:hAnsi="Trebuchet MS"/>
          <w:highlight w:val="yellow"/>
        </w:rPr>
        <w:t>instructional materials and assessments are not yet available for the NGSS</w:t>
      </w:r>
      <w:r w:rsidR="00DC3605" w:rsidRPr="005A1008">
        <w:rPr>
          <w:rFonts w:ascii="Trebuchet MS" w:eastAsia="Times New Roman" w:hAnsi="Trebuchet MS"/>
        </w:rPr>
        <w:t xml:space="preserve">, local education agencies should begin working with their stakeholders (including teachers, parents, students, administrators, district administrators, local school board members, professional organizations, and community and business partners) as they </w:t>
      </w:r>
      <w:r w:rsidR="00DC3605" w:rsidRPr="005A1008">
        <w:rPr>
          <w:rFonts w:ascii="Trebuchet MS" w:eastAsia="Times New Roman" w:hAnsi="Trebuchet MS"/>
          <w:highlight w:val="yellow"/>
        </w:rPr>
        <w:t>begin to write their own implementation plans for the NGSS</w:t>
      </w:r>
      <w:r w:rsidR="00DC3605" w:rsidRPr="005A1008">
        <w:rPr>
          <w:rFonts w:ascii="Trebuchet MS" w:eastAsia="Times New Roman" w:hAnsi="Trebuchet MS"/>
        </w:rPr>
        <w:t>. </w:t>
      </w:r>
    </w:p>
    <w:p w14:paraId="46B5CE88" w14:textId="7E145FA4" w:rsidR="005A1008" w:rsidRPr="005A1008" w:rsidRDefault="00DC3605" w:rsidP="005A1008">
      <w:pPr>
        <w:pStyle w:val="NormalWeb"/>
        <w:ind w:left="720"/>
        <w:jc w:val="both"/>
        <w:rPr>
          <w:rFonts w:ascii="Trebuchet MS" w:eastAsia="Times New Roman" w:hAnsi="Trebuchet MS"/>
        </w:rPr>
      </w:pPr>
      <w:r w:rsidRPr="005A1008">
        <w:rPr>
          <w:rFonts w:ascii="Trebuchet MS" w:eastAsia="Times New Roman" w:hAnsi="Trebuchet MS"/>
          <w:highlight w:val="yellow"/>
        </w:rPr>
        <w:t>Teachers can start evaluating their assessment procedures</w:t>
      </w:r>
      <w:r w:rsidRPr="005A1008">
        <w:rPr>
          <w:rFonts w:ascii="Trebuchet MS" w:eastAsia="Times New Roman" w:hAnsi="Trebuchet MS"/>
        </w:rPr>
        <w:t xml:space="preserve"> of how they measure student understanding of not only content, but of the </w:t>
      </w:r>
      <w:r w:rsidRPr="005A1008">
        <w:rPr>
          <w:rFonts w:ascii="Trebuchet MS" w:eastAsia="Times New Roman" w:hAnsi="Trebuchet MS"/>
        </w:rPr>
        <w:fldChar w:fldCharType="begin"/>
      </w:r>
      <w:r w:rsidRPr="005A1008">
        <w:rPr>
          <w:rFonts w:ascii="Trebuchet MS" w:eastAsia="Times New Roman" w:hAnsi="Trebuchet MS"/>
        </w:rPr>
        <w:instrText xml:space="preserve"> HYPERLINK "http://www.nextgenscience.org/three-dimensions" \t "_blank" </w:instrText>
      </w:r>
      <w:r w:rsidRPr="005A1008">
        <w:rPr>
          <w:rFonts w:ascii="Trebuchet MS" w:eastAsia="Times New Roman" w:hAnsi="Trebuchet MS"/>
        </w:rPr>
        <w:fldChar w:fldCharType="separate"/>
      </w:r>
      <w:r w:rsidRPr="005A1008">
        <w:rPr>
          <w:rStyle w:val="Hyperlink"/>
          <w:rFonts w:ascii="Trebuchet MS" w:eastAsia="Times New Roman" w:hAnsi="Trebuchet MS"/>
        </w:rPr>
        <w:t xml:space="preserve">Crosscutting Concepts and Scientific and Engineering Practices </w:t>
      </w:r>
      <w:r w:rsidRPr="005A1008">
        <w:rPr>
          <w:rFonts w:ascii="Trebuchet MS" w:eastAsia="Times New Roman" w:hAnsi="Trebuchet MS"/>
        </w:rPr>
        <w:fldChar w:fldCharType="end"/>
      </w:r>
      <w:r w:rsidRPr="005A1008">
        <w:rPr>
          <w:rFonts w:ascii="Trebuchet MS" w:eastAsia="Times New Roman" w:hAnsi="Trebuchet MS"/>
          <w:noProof/>
        </w:rPr>
        <w:drawing>
          <wp:inline distT="0" distB="0" distL="0" distR="0" wp14:anchorId="1F605A43" wp14:editId="1B908C22">
            <wp:extent cx="154940" cy="140970"/>
            <wp:effectExtent l="0" t="0" r="0" b="11430"/>
            <wp:docPr id="1" name="Picture 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rnal link opens in new window or t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5A1008">
        <w:rPr>
          <w:rFonts w:ascii="Trebuchet MS" w:eastAsia="Times New Roman" w:hAnsi="Trebuchet MS"/>
        </w:rPr>
        <w:t xml:space="preserve">. Successful implementation of the NGSS will require students to demonstrate their understanding of how science works </w:t>
      </w:r>
      <w:r w:rsidRPr="005A1008">
        <w:rPr>
          <w:rFonts w:ascii="Trebuchet MS" w:eastAsia="Times New Roman" w:hAnsi="Trebuchet MS"/>
          <w:highlight w:val="yellow"/>
        </w:rPr>
        <w:t>in new ways</w:t>
      </w:r>
      <w:r w:rsidRPr="005A1008">
        <w:rPr>
          <w:rFonts w:ascii="Trebuchet MS" w:eastAsia="Times New Roman" w:hAnsi="Trebuchet MS"/>
        </w:rPr>
        <w:t>. Future assessments will require students to not only ‘know’ science concepts, but students must use their understanding to investigate the natural world through the practices of science inquiry or solve meaningful problems through the practices of engineering design.</w:t>
      </w:r>
    </w:p>
    <w:p w14:paraId="5B3C75C6" w14:textId="57884F7C" w:rsidR="00DC3605" w:rsidRPr="005A1008" w:rsidRDefault="00DC3605" w:rsidP="005A1008">
      <w:pPr>
        <w:pStyle w:val="NormalWeb"/>
        <w:ind w:left="720"/>
        <w:jc w:val="both"/>
        <w:rPr>
          <w:rFonts w:ascii="Trebuchet MS" w:eastAsia="Times New Roman" w:hAnsi="Trebuchet MS"/>
        </w:rPr>
      </w:pPr>
      <w:r w:rsidRPr="005A1008">
        <w:rPr>
          <w:rFonts w:ascii="Trebuchet MS" w:eastAsia="Times New Roman" w:hAnsi="Trebuchet MS"/>
        </w:rPr>
        <w:t xml:space="preserve">To learn more about the research behind the NGSS, stakeholders are encouraged to review the 2011 NRC report </w:t>
      </w:r>
      <w:r w:rsidRPr="005A1008">
        <w:rPr>
          <w:rFonts w:ascii="Trebuchet MS" w:eastAsia="Times New Roman" w:hAnsi="Trebuchet MS"/>
        </w:rPr>
        <w:fldChar w:fldCharType="begin"/>
      </w:r>
      <w:r w:rsidRPr="005A1008">
        <w:rPr>
          <w:rFonts w:ascii="Trebuchet MS" w:eastAsia="Times New Roman" w:hAnsi="Trebuchet MS"/>
        </w:rPr>
        <w:instrText xml:space="preserve"> HYPERLINK "http://www.nap.edu/catalog.php?record_id=13165" \t "_blank" </w:instrText>
      </w:r>
      <w:r w:rsidRPr="005A1008">
        <w:rPr>
          <w:rFonts w:ascii="Trebuchet MS" w:eastAsia="Times New Roman" w:hAnsi="Trebuchet MS"/>
        </w:rPr>
        <w:fldChar w:fldCharType="separate"/>
      </w:r>
      <w:r w:rsidRPr="005A1008">
        <w:rPr>
          <w:rStyle w:val="Emphasis"/>
          <w:rFonts w:ascii="Trebuchet MS" w:eastAsia="Times New Roman" w:hAnsi="Trebuchet MS"/>
          <w:color w:val="0000FF"/>
          <w:u w:val="single"/>
        </w:rPr>
        <w:t xml:space="preserve">A Framework for K-12 Science Education: Practices, Crosscutting Concepts, and Core Ideas </w:t>
      </w:r>
      <w:r w:rsidRPr="005A1008">
        <w:rPr>
          <w:rFonts w:ascii="Trebuchet MS" w:eastAsia="Times New Roman" w:hAnsi="Trebuchet MS"/>
        </w:rPr>
        <w:fldChar w:fldCharType="end"/>
      </w:r>
      <w:r w:rsidRPr="005A1008">
        <w:rPr>
          <w:rFonts w:ascii="Trebuchet MS" w:eastAsia="Times New Roman" w:hAnsi="Trebuchet MS"/>
          <w:i/>
          <w:iCs/>
          <w:noProof/>
        </w:rPr>
        <w:drawing>
          <wp:inline distT="0" distB="0" distL="0" distR="0" wp14:anchorId="4E7382FF" wp14:editId="3BA8DD8B">
            <wp:extent cx="154940" cy="140970"/>
            <wp:effectExtent l="0" t="0" r="0" b="11430"/>
            <wp:docPr id="2" name="Picture 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rnal link opens in new window or t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5A1008">
        <w:rPr>
          <w:rStyle w:val="Emphasis"/>
          <w:rFonts w:ascii="Trebuchet MS" w:eastAsia="Times New Roman" w:hAnsi="Trebuchet MS"/>
        </w:rPr>
        <w:t>.</w:t>
      </w:r>
    </w:p>
    <w:p w14:paraId="08755E0B" w14:textId="232436C3" w:rsidR="00742701" w:rsidRDefault="00742701" w:rsidP="00CD4A52">
      <w:pPr>
        <w:pStyle w:val="NormalWeb"/>
        <w:rPr>
          <w:rFonts w:ascii="Trebuchet MS" w:hAnsi="Trebuchet MS"/>
          <w:b/>
          <w:sz w:val="24"/>
          <w:szCs w:val="24"/>
        </w:rPr>
      </w:pPr>
      <w:r w:rsidRPr="00EA7F4F">
        <w:rPr>
          <w:rFonts w:ascii="Trebuchet MS" w:hAnsi="Trebuchet MS"/>
          <w:b/>
          <w:sz w:val="32"/>
          <w:szCs w:val="32"/>
        </w:rPr>
        <w:t>2014-2015</w:t>
      </w:r>
      <w:r w:rsidR="00FD68D2" w:rsidRPr="00EA7F4F">
        <w:rPr>
          <w:rFonts w:ascii="Trebuchet MS" w:hAnsi="Trebuchet MS"/>
          <w:b/>
          <w:sz w:val="32"/>
          <w:szCs w:val="32"/>
        </w:rPr>
        <w:t xml:space="preserve"> </w:t>
      </w:r>
      <w:r w:rsidR="00FD68D2" w:rsidRPr="00EA7F4F">
        <w:rPr>
          <w:rFonts w:ascii="Trebuchet MS" w:hAnsi="Trebuchet MS"/>
          <w:sz w:val="32"/>
          <w:szCs w:val="32"/>
        </w:rPr>
        <w:t>[one year ou</w:t>
      </w:r>
      <w:r w:rsidR="00EA7F4F">
        <w:rPr>
          <w:rFonts w:ascii="Trebuchet MS" w:hAnsi="Trebuchet MS"/>
          <w:sz w:val="32"/>
          <w:szCs w:val="32"/>
        </w:rPr>
        <w:t>t]</w:t>
      </w:r>
    </w:p>
    <w:p w14:paraId="00D75F17" w14:textId="5EF3FA23" w:rsidR="00742701" w:rsidRDefault="00742701" w:rsidP="00FD68D2">
      <w:pPr>
        <w:spacing w:before="100" w:beforeAutospacing="1" w:after="100" w:afterAutospacing="1"/>
        <w:jc w:val="both"/>
        <w:rPr>
          <w:rFonts w:ascii="Trebuchet MS" w:hAnsi="Trebuchet MS" w:cs="Times New Roman"/>
          <w:sz w:val="20"/>
          <w:szCs w:val="20"/>
        </w:rPr>
      </w:pPr>
      <w:r w:rsidRPr="00DC3605">
        <w:rPr>
          <w:rFonts w:ascii="Trebuchet MS" w:eastAsia="Times New Roman" w:hAnsi="Trebuchet MS" w:cs="Times New Roman"/>
          <w:sz w:val="20"/>
          <w:szCs w:val="20"/>
        </w:rPr>
        <w:t xml:space="preserve">Implementation of new science standards, </w:t>
      </w:r>
      <w:r w:rsidRPr="00DC3605">
        <w:rPr>
          <w:rFonts w:ascii="Trebuchet MS" w:hAnsi="Trebuchet MS" w:cs="Times New Roman"/>
          <w:sz w:val="20"/>
          <w:szCs w:val="20"/>
        </w:rPr>
        <w:t xml:space="preserve">pending </w:t>
      </w:r>
      <w:r w:rsidR="00FD68D2">
        <w:rPr>
          <w:rFonts w:ascii="Trebuchet MS" w:hAnsi="Trebuchet MS" w:cs="Times New Roman"/>
          <w:sz w:val="20"/>
          <w:szCs w:val="20"/>
        </w:rPr>
        <w:t>the State Board of Education’s (SBE)</w:t>
      </w:r>
      <w:r w:rsidRPr="00DC3605">
        <w:rPr>
          <w:rFonts w:ascii="Trebuchet MS" w:hAnsi="Trebuchet MS" w:cs="Times New Roman"/>
          <w:sz w:val="20"/>
          <w:szCs w:val="20"/>
        </w:rPr>
        <w:t xml:space="preserve"> </w:t>
      </w:r>
      <w:r w:rsidR="008B1051">
        <w:rPr>
          <w:rFonts w:ascii="Trebuchet MS" w:hAnsi="Trebuchet MS" w:cs="Times New Roman"/>
          <w:sz w:val="20"/>
          <w:szCs w:val="20"/>
        </w:rPr>
        <w:t xml:space="preserve">final </w:t>
      </w:r>
      <w:r w:rsidRPr="00DC3605">
        <w:rPr>
          <w:rFonts w:ascii="Trebuchet MS" w:hAnsi="Trebuchet MS" w:cs="Times New Roman"/>
          <w:sz w:val="20"/>
          <w:szCs w:val="20"/>
        </w:rPr>
        <w:t xml:space="preserve">action on </w:t>
      </w:r>
      <w:r w:rsidR="008B1051">
        <w:rPr>
          <w:rFonts w:ascii="Trebuchet MS" w:hAnsi="Trebuchet MS" w:cs="Times New Roman"/>
          <w:sz w:val="20"/>
          <w:szCs w:val="20"/>
        </w:rPr>
        <w:t xml:space="preserve">the </w:t>
      </w:r>
      <w:r w:rsidR="005A01A9" w:rsidRPr="00DC3605">
        <w:rPr>
          <w:rFonts w:ascii="Trebuchet MS" w:hAnsi="Trebuchet MS" w:cs="Times New Roman"/>
          <w:sz w:val="20"/>
          <w:szCs w:val="20"/>
        </w:rPr>
        <w:t xml:space="preserve">DCI </w:t>
      </w:r>
      <w:r w:rsidRPr="00DC3605">
        <w:rPr>
          <w:rFonts w:ascii="Trebuchet MS" w:hAnsi="Trebuchet MS" w:cs="Times New Roman"/>
          <w:sz w:val="20"/>
          <w:szCs w:val="20"/>
        </w:rPr>
        <w:t>sequence for Middle School</w:t>
      </w:r>
      <w:r w:rsidR="005A01A9" w:rsidRPr="00DC3605">
        <w:rPr>
          <w:rFonts w:ascii="Trebuchet MS" w:hAnsi="Trebuchet MS" w:cs="Times New Roman"/>
          <w:sz w:val="20"/>
          <w:szCs w:val="20"/>
        </w:rPr>
        <w:t xml:space="preserve"> grades and the development of a new NGSS based CA. Framework</w:t>
      </w:r>
      <w:r w:rsidR="00FD68D2">
        <w:rPr>
          <w:rFonts w:ascii="Trebuchet MS" w:hAnsi="Trebuchet MS" w:cs="Times New Roman"/>
          <w:sz w:val="20"/>
          <w:szCs w:val="20"/>
        </w:rPr>
        <w:t xml:space="preserve"> (required by 1/2016).</w:t>
      </w:r>
    </w:p>
    <w:p w14:paraId="720006C3" w14:textId="35D0D708" w:rsidR="0062488B" w:rsidRDefault="005A1008" w:rsidP="0062488B">
      <w:pPr>
        <w:spacing w:before="100" w:beforeAutospacing="1" w:after="100" w:afterAutospacing="1"/>
        <w:jc w:val="both"/>
        <w:rPr>
          <w:rFonts w:ascii="Trebuchet MS" w:eastAsia="Times New Roman" w:hAnsi="Trebuchet MS" w:cs="Times New Roman"/>
          <w:sz w:val="20"/>
          <w:szCs w:val="20"/>
        </w:rPr>
      </w:pPr>
      <w:r>
        <w:rPr>
          <w:rStyle w:val="Strong"/>
          <w:rFonts w:ascii="Trebuchet MS" w:eastAsia="Times New Roman" w:hAnsi="Trebuchet MS" w:cs="Times New Roman"/>
          <w:sz w:val="20"/>
          <w:szCs w:val="20"/>
        </w:rPr>
        <w:t>N</w:t>
      </w:r>
      <w:r w:rsidRPr="005A1008">
        <w:rPr>
          <w:rStyle w:val="Strong"/>
          <w:rFonts w:ascii="Trebuchet MS" w:eastAsia="Times New Roman" w:hAnsi="Trebuchet MS" w:cs="Times New Roman"/>
          <w:sz w:val="20"/>
          <w:szCs w:val="20"/>
        </w:rPr>
        <w:t xml:space="preserve">ew </w:t>
      </w:r>
      <w:r>
        <w:rPr>
          <w:rStyle w:val="Strong"/>
          <w:rFonts w:ascii="Trebuchet MS" w:eastAsia="Times New Roman" w:hAnsi="Trebuchet MS" w:cs="Times New Roman"/>
          <w:sz w:val="20"/>
          <w:szCs w:val="20"/>
        </w:rPr>
        <w:t>NGSS A</w:t>
      </w:r>
      <w:r w:rsidRPr="005A1008">
        <w:rPr>
          <w:rStyle w:val="Strong"/>
          <w:rFonts w:ascii="Trebuchet MS" w:eastAsia="Times New Roman" w:hAnsi="Trebuchet MS" w:cs="Times New Roman"/>
          <w:sz w:val="20"/>
          <w:szCs w:val="20"/>
        </w:rPr>
        <w:t>ssessments</w:t>
      </w:r>
      <w:r>
        <w:rPr>
          <w:rStyle w:val="Strong"/>
          <w:rFonts w:ascii="Trebuchet MS" w:eastAsia="Times New Roman" w:hAnsi="Trebuchet MS" w:cs="Times New Roman"/>
          <w:sz w:val="20"/>
          <w:szCs w:val="20"/>
        </w:rPr>
        <w:t>:</w:t>
      </w:r>
      <w:r>
        <w:rPr>
          <w:rFonts w:ascii="Trebuchet MS" w:eastAsia="Times New Roman" w:hAnsi="Trebuchet MS" w:cs="Times New Roman"/>
          <w:sz w:val="20"/>
          <w:szCs w:val="20"/>
        </w:rPr>
        <w:t xml:space="preserve"> </w:t>
      </w:r>
      <w:r w:rsidRPr="005A1008">
        <w:rPr>
          <w:rFonts w:ascii="Trebuchet MS" w:eastAsia="Times New Roman" w:hAnsi="Trebuchet MS" w:cs="Times New Roman"/>
          <w:sz w:val="20"/>
          <w:szCs w:val="20"/>
        </w:rPr>
        <w:t xml:space="preserve">The earliest new science assessments might be available is </w:t>
      </w:r>
      <w:r>
        <w:rPr>
          <w:rFonts w:ascii="Trebuchet MS" w:eastAsia="Times New Roman" w:hAnsi="Trebuchet MS" w:cs="Times New Roman"/>
          <w:sz w:val="20"/>
          <w:szCs w:val="20"/>
        </w:rPr>
        <w:t>by the end of the</w:t>
      </w:r>
      <w:r w:rsidRPr="005A1008">
        <w:rPr>
          <w:rFonts w:ascii="Trebuchet MS" w:eastAsia="Times New Roman" w:hAnsi="Trebuchet MS" w:cs="Times New Roman"/>
          <w:sz w:val="20"/>
          <w:szCs w:val="20"/>
        </w:rPr>
        <w:t xml:space="preserve"> 2014–2015 school year. However, due to the short timeline, new science assessments will most likely not be available until the following school year.</w:t>
      </w:r>
      <w:r>
        <w:rPr>
          <w:rFonts w:ascii="Trebuchet MS" w:eastAsia="Times New Roman" w:hAnsi="Trebuchet MS" w:cs="Times New Roman"/>
          <w:sz w:val="20"/>
          <w:szCs w:val="20"/>
        </w:rPr>
        <w:t xml:space="preserve"> </w:t>
      </w:r>
      <w:r w:rsidRPr="005A1008">
        <w:rPr>
          <w:rFonts w:ascii="Trebuchet MS" w:eastAsia="Times New Roman" w:hAnsi="Trebuchet MS" w:cs="Times New Roman"/>
          <w:sz w:val="20"/>
          <w:szCs w:val="20"/>
        </w:rPr>
        <w:t xml:space="preserve">At this time, </w:t>
      </w:r>
      <w:r>
        <w:rPr>
          <w:rFonts w:ascii="Trebuchet MS" w:eastAsia="Times New Roman" w:hAnsi="Trebuchet MS" w:cs="Times New Roman"/>
          <w:sz w:val="20"/>
          <w:szCs w:val="20"/>
        </w:rPr>
        <w:t xml:space="preserve">it is thought that the </w:t>
      </w:r>
      <w:r w:rsidRPr="005A1008">
        <w:rPr>
          <w:rFonts w:ascii="Trebuchet MS" w:eastAsia="Times New Roman" w:hAnsi="Trebuchet MS" w:cs="Times New Roman"/>
          <w:sz w:val="20"/>
          <w:szCs w:val="20"/>
        </w:rPr>
        <w:t xml:space="preserve">new science assessments will likely be developed much like the assessments of </w:t>
      </w:r>
      <w:r w:rsidRPr="005A1008">
        <w:rPr>
          <w:rFonts w:ascii="Trebuchet MS" w:eastAsia="Times New Roman" w:hAnsi="Trebuchet MS" w:cs="Times New Roman"/>
          <w:sz w:val="20"/>
          <w:szCs w:val="20"/>
        </w:rPr>
        <w:fldChar w:fldCharType="begin"/>
      </w:r>
      <w:r w:rsidRPr="005A1008">
        <w:rPr>
          <w:rFonts w:ascii="Trebuchet MS" w:eastAsia="Times New Roman" w:hAnsi="Trebuchet MS" w:cs="Times New Roman"/>
          <w:sz w:val="20"/>
          <w:szCs w:val="20"/>
        </w:rPr>
        <w:instrText xml:space="preserve"> HYPERLINK "http://www.smarterbalanced.org/" \t "_blank" </w:instrText>
      </w:r>
      <w:r w:rsidRPr="005A1008">
        <w:rPr>
          <w:rFonts w:ascii="Trebuchet MS" w:eastAsia="Times New Roman" w:hAnsi="Trebuchet MS" w:cs="Times New Roman"/>
          <w:sz w:val="20"/>
          <w:szCs w:val="20"/>
        </w:rPr>
        <w:fldChar w:fldCharType="separate"/>
      </w:r>
      <w:r w:rsidRPr="005A1008">
        <w:rPr>
          <w:rStyle w:val="Hyperlink"/>
          <w:rFonts w:ascii="Trebuchet MS" w:eastAsia="Times New Roman" w:hAnsi="Trebuchet MS" w:cs="Times New Roman"/>
          <w:sz w:val="20"/>
          <w:szCs w:val="20"/>
        </w:rPr>
        <w:t xml:space="preserve">SBAC </w:t>
      </w:r>
      <w:r w:rsidRPr="005A1008">
        <w:rPr>
          <w:rFonts w:ascii="Trebuchet MS" w:eastAsia="Times New Roman" w:hAnsi="Trebuchet MS" w:cs="Times New Roman"/>
          <w:sz w:val="20"/>
          <w:szCs w:val="20"/>
        </w:rPr>
        <w:fldChar w:fldCharType="end"/>
      </w:r>
      <w:r w:rsidRPr="005A1008">
        <w:rPr>
          <w:rFonts w:ascii="Trebuchet MS" w:eastAsia="Times New Roman" w:hAnsi="Trebuchet MS" w:cs="Times New Roman"/>
          <w:noProof/>
          <w:sz w:val="20"/>
          <w:szCs w:val="20"/>
        </w:rPr>
        <w:drawing>
          <wp:inline distT="0" distB="0" distL="0" distR="0" wp14:anchorId="7EADB30B" wp14:editId="6FCD6227">
            <wp:extent cx="154940" cy="140970"/>
            <wp:effectExtent l="0" t="0" r="0" b="11430"/>
            <wp:docPr id="10" name="Picture 1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ternal link opens in new window or t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5A1008">
        <w:rPr>
          <w:rFonts w:ascii="Trebuchet MS" w:eastAsia="Times New Roman" w:hAnsi="Trebuchet MS" w:cs="Times New Roman"/>
          <w:sz w:val="20"/>
          <w:szCs w:val="20"/>
        </w:rPr>
        <w:t xml:space="preserve">. However, </w:t>
      </w:r>
      <w:r w:rsidRPr="005A1008">
        <w:rPr>
          <w:rFonts w:ascii="Trebuchet MS" w:eastAsia="Times New Roman" w:hAnsi="Trebuchet MS" w:cs="Times New Roman"/>
          <w:sz w:val="20"/>
          <w:szCs w:val="20"/>
          <w:highlight w:val="yellow"/>
        </w:rPr>
        <w:t>it is still too early to know exactly how and when new science assessments will be administered.</w:t>
      </w:r>
      <w:r w:rsidR="00AF6E53">
        <w:rPr>
          <w:rFonts w:ascii="Trebuchet MS" w:eastAsia="Times New Roman" w:hAnsi="Trebuchet MS" w:cs="Times New Roman"/>
          <w:sz w:val="20"/>
          <w:szCs w:val="20"/>
        </w:rPr>
        <w:t xml:space="preserve"> </w:t>
      </w:r>
      <w:r w:rsidR="0062488B">
        <w:rPr>
          <w:rFonts w:ascii="Trebuchet MS" w:eastAsia="Times New Roman" w:hAnsi="Trebuchet MS" w:cs="Times New Roman"/>
          <w:sz w:val="20"/>
          <w:szCs w:val="20"/>
        </w:rPr>
        <w:t xml:space="preserve">At the recommendation of the </w:t>
      </w:r>
      <w:hyperlink r:id="rId23" w:anchor="search=sspi%20recommendations&amp;view=FitH&amp;pagemode=none" w:history="1">
        <w:r w:rsidR="0062488B" w:rsidRPr="00A810F1">
          <w:rPr>
            <w:rStyle w:val="Hyperlink"/>
            <w:rFonts w:ascii="Trebuchet MS" w:eastAsia="Times New Roman" w:hAnsi="Trebuchet MS" w:cs="Times New Roman"/>
            <w:sz w:val="20"/>
            <w:szCs w:val="20"/>
          </w:rPr>
          <w:t>ADADSIB</w:t>
        </w:r>
      </w:hyperlink>
      <w:r w:rsidR="0062488B">
        <w:rPr>
          <w:rStyle w:val="FootnoteReference"/>
          <w:rFonts w:ascii="Trebuchet MS" w:eastAsia="Times New Roman" w:hAnsi="Trebuchet MS" w:cs="Times New Roman"/>
          <w:sz w:val="20"/>
          <w:szCs w:val="20"/>
        </w:rPr>
        <w:footnoteReference w:id="3"/>
      </w:r>
      <w:r w:rsidR="0062488B">
        <w:rPr>
          <w:rFonts w:ascii="Trebuchet MS" w:eastAsia="Times New Roman" w:hAnsi="Trebuchet MS" w:cs="Times New Roman"/>
          <w:sz w:val="20"/>
          <w:szCs w:val="20"/>
        </w:rPr>
        <w:t>, the CDE has been encouraged</w:t>
      </w:r>
      <w:r w:rsidR="00AF6E53" w:rsidRPr="0062488B">
        <w:rPr>
          <w:rFonts w:ascii="Trebuchet MS" w:eastAsia="Times New Roman" w:hAnsi="Trebuchet MS" w:cs="Times New Roman"/>
          <w:sz w:val="20"/>
          <w:szCs w:val="20"/>
        </w:rPr>
        <w:t xml:space="preserve"> </w:t>
      </w:r>
      <w:r w:rsidR="0062488B">
        <w:rPr>
          <w:rFonts w:ascii="Trebuchet MS" w:eastAsia="Times New Roman" w:hAnsi="Trebuchet MS" w:cs="Times New Roman"/>
          <w:sz w:val="20"/>
          <w:szCs w:val="20"/>
        </w:rPr>
        <w:t xml:space="preserve">that all new state </w:t>
      </w:r>
      <w:r w:rsidR="00AF6E53" w:rsidRPr="0062488B">
        <w:rPr>
          <w:rFonts w:ascii="Trebuchet MS" w:eastAsia="Times New Roman" w:hAnsi="Trebuchet MS" w:cs="Times New Roman"/>
          <w:sz w:val="20"/>
          <w:szCs w:val="20"/>
        </w:rPr>
        <w:t xml:space="preserve">science assessments </w:t>
      </w:r>
      <w:r w:rsidR="0062488B">
        <w:rPr>
          <w:rFonts w:ascii="Trebuchet MS" w:eastAsia="Times New Roman" w:hAnsi="Trebuchet MS" w:cs="Times New Roman"/>
          <w:sz w:val="20"/>
          <w:szCs w:val="20"/>
        </w:rPr>
        <w:t xml:space="preserve">be </w:t>
      </w:r>
      <w:r w:rsidR="00AF6E53" w:rsidRPr="0062488B">
        <w:rPr>
          <w:rFonts w:ascii="Trebuchet MS" w:eastAsia="Times New Roman" w:hAnsi="Trebuchet MS" w:cs="Times New Roman"/>
          <w:sz w:val="20"/>
          <w:szCs w:val="20"/>
        </w:rPr>
        <w:t>consistent with the newly adopted NGSS for California, that include item types consistent with the SBAC assessments (e.g., short and extended constructed-response items and performance tasks).</w:t>
      </w:r>
    </w:p>
    <w:p w14:paraId="6167B56B" w14:textId="53AF338E" w:rsidR="00742701" w:rsidRPr="00EA7F4F" w:rsidRDefault="00742701" w:rsidP="00CD4A52">
      <w:pPr>
        <w:pStyle w:val="NormalWeb"/>
        <w:rPr>
          <w:rFonts w:ascii="Trebuchet MS" w:hAnsi="Trebuchet MS"/>
          <w:b/>
          <w:sz w:val="32"/>
          <w:szCs w:val="32"/>
        </w:rPr>
      </w:pPr>
      <w:r w:rsidRPr="00EA7F4F">
        <w:rPr>
          <w:rFonts w:ascii="Trebuchet MS" w:hAnsi="Trebuchet MS"/>
          <w:b/>
          <w:sz w:val="32"/>
          <w:szCs w:val="32"/>
        </w:rPr>
        <w:t>2015-2016</w:t>
      </w:r>
      <w:r w:rsidR="00FD68D2" w:rsidRPr="00EA7F4F">
        <w:rPr>
          <w:rFonts w:ascii="Trebuchet MS" w:hAnsi="Trebuchet MS"/>
          <w:b/>
          <w:sz w:val="32"/>
          <w:szCs w:val="32"/>
        </w:rPr>
        <w:t xml:space="preserve"> </w:t>
      </w:r>
      <w:r w:rsidR="00FD68D2" w:rsidRPr="00EA7F4F">
        <w:rPr>
          <w:rFonts w:ascii="Trebuchet MS" w:hAnsi="Trebuchet MS"/>
          <w:sz w:val="32"/>
          <w:szCs w:val="32"/>
        </w:rPr>
        <w:t>[two years out]</w:t>
      </w:r>
    </w:p>
    <w:p w14:paraId="194EBFE5" w14:textId="6C473BD9" w:rsidR="00DC3605" w:rsidRDefault="00DC3605" w:rsidP="00DC3605">
      <w:pPr>
        <w:pStyle w:val="NormalWeb"/>
        <w:jc w:val="both"/>
        <w:rPr>
          <w:rFonts w:ascii="Trebuchet MS" w:hAnsi="Trebuchet MS"/>
          <w:bCs/>
        </w:rPr>
      </w:pPr>
      <w:r w:rsidRPr="005A01A9">
        <w:rPr>
          <w:rFonts w:ascii="Trebuchet MS" w:hAnsi="Trebuchet MS"/>
          <w:b/>
          <w:bCs/>
        </w:rPr>
        <w:t xml:space="preserve">The </w:t>
      </w:r>
      <w:r w:rsidRPr="00DC3605">
        <w:rPr>
          <w:rFonts w:ascii="Trebuchet MS" w:hAnsi="Trebuchet MS"/>
          <w:b/>
          <w:bCs/>
          <w:i/>
        </w:rPr>
        <w:t>Transition Phase</w:t>
      </w:r>
      <w:r>
        <w:rPr>
          <w:rFonts w:ascii="Trebuchet MS" w:hAnsi="Trebuchet MS"/>
          <w:b/>
          <w:bCs/>
        </w:rPr>
        <w:t xml:space="preserve"> </w:t>
      </w:r>
      <w:r>
        <w:rPr>
          <w:rFonts w:ascii="Trebuchet MS" w:hAnsi="Trebuchet MS"/>
          <w:bCs/>
        </w:rPr>
        <w:t xml:space="preserve">(@ the CDE level, begins) </w:t>
      </w:r>
      <w:r w:rsidRPr="005A01A9">
        <w:rPr>
          <w:rFonts w:ascii="Trebuchet MS" w:hAnsi="Trebuchet MS"/>
          <w:bCs/>
        </w:rPr>
        <w:t>is the concentration of building foundational resources, implementing needs assessments, establishing new professional learning opportunities, and expanding collaborations between all stakeholders.</w:t>
      </w:r>
    </w:p>
    <w:p w14:paraId="42F0EBA8" w14:textId="33F3FA76" w:rsidR="00340617" w:rsidRDefault="00340617" w:rsidP="00340617">
      <w:pPr>
        <w:pStyle w:val="NormalWeb"/>
        <w:jc w:val="both"/>
        <w:rPr>
          <w:rFonts w:ascii="Trebuchet MS" w:hAnsi="Trebuchet MS"/>
          <w:bCs/>
        </w:rPr>
      </w:pPr>
      <w:r w:rsidRPr="00340617">
        <w:rPr>
          <w:rFonts w:ascii="Trebuchet MS" w:hAnsi="Trebuchet MS"/>
          <w:b/>
          <w:bCs/>
        </w:rPr>
        <w:t>When will the new Frameworks for Science be available?</w:t>
      </w:r>
      <w:r>
        <w:rPr>
          <w:rFonts w:ascii="Trebuchet MS" w:hAnsi="Trebuchet MS"/>
          <w:bCs/>
        </w:rPr>
        <w:t xml:space="preserve">  </w:t>
      </w:r>
      <w:r w:rsidRPr="00340617">
        <w:rPr>
          <w:rFonts w:ascii="Trebuchet MS" w:hAnsi="Trebuchet MS"/>
          <w:bCs/>
        </w:rPr>
        <w:fldChar w:fldCharType="begin"/>
      </w:r>
      <w:r w:rsidRPr="00340617">
        <w:rPr>
          <w:rFonts w:ascii="Trebuchet MS" w:hAnsi="Trebuchet MS"/>
          <w:bCs/>
        </w:rPr>
        <w:instrText xml:space="preserve"> HYPERLINK "http://leginfo.legislature.ca.gov/faces/billNavClient.xhtml?bill_id=201320140SB300&amp;search_keywords=" \t "_blank" </w:instrText>
      </w:r>
      <w:r w:rsidRPr="00340617">
        <w:rPr>
          <w:rFonts w:ascii="Trebuchet MS" w:hAnsi="Trebuchet MS"/>
          <w:bCs/>
        </w:rPr>
        <w:fldChar w:fldCharType="separate"/>
      </w:r>
      <w:r w:rsidRPr="00340617">
        <w:rPr>
          <w:rStyle w:val="Hyperlink"/>
          <w:rFonts w:ascii="Trebuchet MS" w:hAnsi="Trebuchet MS"/>
          <w:bCs/>
        </w:rPr>
        <w:t>Senate Bill 300 (2013)</w:t>
      </w:r>
      <w:r w:rsidRPr="00340617">
        <w:rPr>
          <w:rFonts w:ascii="Trebuchet MS" w:hAnsi="Trebuchet MS"/>
          <w:bCs/>
        </w:rPr>
        <w:fldChar w:fldCharType="end"/>
      </w:r>
      <w:r w:rsidRPr="00340617">
        <w:rPr>
          <w:rFonts w:ascii="Trebuchet MS" w:hAnsi="Trebuchet MS"/>
          <w:bCs/>
        </w:rPr>
        <w:t xml:space="preserve"> </w:t>
      </w:r>
      <w:r w:rsidRPr="00340617">
        <w:rPr>
          <w:rFonts w:ascii="Trebuchet MS" w:hAnsi="Trebuchet MS"/>
          <w:bCs/>
          <w:noProof/>
        </w:rPr>
        <w:drawing>
          <wp:inline distT="0" distB="0" distL="0" distR="0" wp14:anchorId="2B475995" wp14:editId="7BD53B03">
            <wp:extent cx="154940" cy="140970"/>
            <wp:effectExtent l="0" t="0" r="0" b="11430"/>
            <wp:docPr id="17" name="Picture 1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ternal link opens in new window or ta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340617">
        <w:rPr>
          <w:rFonts w:ascii="Trebuchet MS" w:hAnsi="Trebuchet MS"/>
          <w:bCs/>
        </w:rPr>
        <w:t xml:space="preserve">requires the SBE to consider the </w:t>
      </w:r>
      <w:r w:rsidRPr="00FD68D2">
        <w:rPr>
          <w:rFonts w:ascii="Trebuchet MS" w:hAnsi="Trebuchet MS"/>
          <w:bCs/>
          <w:highlight w:val="yellow"/>
        </w:rPr>
        <w:t>adoption of a revised curriculum framework and evaluation criteria for instructional materials in science on or before January 31, 2016</w:t>
      </w:r>
      <w:r w:rsidRPr="00340617">
        <w:rPr>
          <w:rFonts w:ascii="Trebuchet MS" w:hAnsi="Trebuchet MS"/>
          <w:bCs/>
        </w:rPr>
        <w:t>, and would require the revised curriculum framework to be based on the NGSS, and to include English language development strategies, as specified, and strategies to address the needs of pupils with disabilities.</w:t>
      </w:r>
    </w:p>
    <w:p w14:paraId="3FB28D7E" w14:textId="20A93570" w:rsidR="006F457D" w:rsidRPr="006F457D" w:rsidRDefault="006F457D" w:rsidP="006F457D">
      <w:pPr>
        <w:pStyle w:val="NormalWeb"/>
        <w:jc w:val="both"/>
        <w:rPr>
          <w:rFonts w:ascii="Trebuchet MS" w:hAnsi="Trebuchet MS"/>
          <w:b/>
          <w:bCs/>
        </w:rPr>
      </w:pPr>
      <w:r w:rsidRPr="006F457D">
        <w:rPr>
          <w:rFonts w:ascii="Trebuchet MS" w:hAnsi="Trebuchet MS"/>
          <w:b/>
          <w:bCs/>
        </w:rPr>
        <w:t>What are “curriculum frameworks”?</w:t>
      </w:r>
      <w:r>
        <w:rPr>
          <w:rFonts w:ascii="Trebuchet MS" w:hAnsi="Trebuchet MS"/>
          <w:b/>
          <w:bCs/>
        </w:rPr>
        <w:t xml:space="preserve"> </w:t>
      </w:r>
      <w:r w:rsidRPr="006F457D">
        <w:rPr>
          <w:rFonts w:ascii="Trebuchet MS" w:hAnsi="Trebuchet MS"/>
          <w:bCs/>
        </w:rPr>
        <w:t xml:space="preserve">Curriculum frameworks </w:t>
      </w:r>
      <w:r w:rsidRPr="006F457D">
        <w:rPr>
          <w:rFonts w:ascii="Trebuchet MS" w:hAnsi="Trebuchet MS"/>
          <w:bCs/>
          <w:highlight w:val="yellow"/>
        </w:rPr>
        <w:t xml:space="preserve">offer guidance for </w:t>
      </w:r>
      <w:r>
        <w:rPr>
          <w:rFonts w:ascii="Trebuchet MS" w:hAnsi="Trebuchet MS"/>
          <w:bCs/>
          <w:highlight w:val="yellow"/>
        </w:rPr>
        <w:t>the implementation</w:t>
      </w:r>
      <w:r w:rsidRPr="006F457D">
        <w:rPr>
          <w:rFonts w:ascii="Trebuchet MS" w:hAnsi="Trebuchet MS"/>
          <w:bCs/>
        </w:rPr>
        <w:t xml:space="preserve"> </w:t>
      </w:r>
      <w:r>
        <w:rPr>
          <w:rFonts w:ascii="Trebuchet MS" w:hAnsi="Trebuchet MS"/>
          <w:bCs/>
        </w:rPr>
        <w:t xml:space="preserve">of </w:t>
      </w:r>
      <w:r w:rsidRPr="006F457D">
        <w:rPr>
          <w:rFonts w:ascii="Trebuchet MS" w:hAnsi="Trebuchet MS"/>
          <w:bCs/>
        </w:rPr>
        <w:t>content standards</w:t>
      </w:r>
      <w:r>
        <w:rPr>
          <w:rFonts w:ascii="Trebuchet MS" w:hAnsi="Trebuchet MS"/>
          <w:bCs/>
        </w:rPr>
        <w:t xml:space="preserve"> (in this case the CA. adopted version of the generic NGSS)</w:t>
      </w:r>
      <w:r w:rsidRPr="006F457D">
        <w:rPr>
          <w:rFonts w:ascii="Trebuchet MS" w:hAnsi="Trebuchet MS"/>
          <w:bCs/>
        </w:rPr>
        <w:t xml:space="preserve">. Frameworks </w:t>
      </w:r>
      <w:r w:rsidRPr="006F457D">
        <w:rPr>
          <w:rFonts w:ascii="Trebuchet MS" w:hAnsi="Trebuchet MS"/>
          <w:bCs/>
          <w:highlight w:val="yellow"/>
        </w:rPr>
        <w:t>describe the curriculum and instruction necessary</w:t>
      </w:r>
      <w:r w:rsidRPr="006F457D">
        <w:rPr>
          <w:rFonts w:ascii="Trebuchet MS" w:hAnsi="Trebuchet MS"/>
          <w:bCs/>
        </w:rPr>
        <w:t xml:space="preserve"> to help students achieve proficiency, and they </w:t>
      </w:r>
      <w:r w:rsidRPr="006F457D">
        <w:rPr>
          <w:rFonts w:ascii="Trebuchet MS" w:hAnsi="Trebuchet MS"/>
          <w:bCs/>
          <w:highlight w:val="yellow"/>
        </w:rPr>
        <w:t>specify the design of instructional materials</w:t>
      </w:r>
      <w:r w:rsidRPr="006F457D">
        <w:rPr>
          <w:rFonts w:ascii="Trebuchet MS" w:hAnsi="Trebuchet MS"/>
          <w:bCs/>
        </w:rPr>
        <w:t xml:space="preserve"> and professional development. Further, they provide </w:t>
      </w:r>
      <w:r w:rsidRPr="006F457D">
        <w:rPr>
          <w:rFonts w:ascii="Trebuchet MS" w:hAnsi="Trebuchet MS"/>
          <w:bCs/>
          <w:highlight w:val="yellow"/>
        </w:rPr>
        <w:t>guidelines and selected research-based approaches for implementing instructio</w:t>
      </w:r>
      <w:r w:rsidRPr="006F457D">
        <w:rPr>
          <w:rFonts w:ascii="Trebuchet MS" w:hAnsi="Trebuchet MS"/>
          <w:bCs/>
        </w:rPr>
        <w:t xml:space="preserve">n to ensure optimal benefits for all students, including those students with special learning needs (See </w:t>
      </w:r>
      <w:r w:rsidRPr="006F457D">
        <w:rPr>
          <w:rFonts w:ascii="Trebuchet MS" w:hAnsi="Trebuchet MS"/>
          <w:bCs/>
          <w:i/>
          <w:iCs/>
        </w:rPr>
        <w:t>California Education Code</w:t>
      </w:r>
      <w:r w:rsidRPr="006F457D">
        <w:rPr>
          <w:rFonts w:ascii="Trebuchet MS" w:hAnsi="Trebuchet MS"/>
          <w:bCs/>
        </w:rPr>
        <w:t xml:space="preserve"> </w:t>
      </w:r>
      <w:r w:rsidRPr="006F457D">
        <w:rPr>
          <w:rFonts w:ascii="Trebuchet MS" w:hAnsi="Trebuchet MS"/>
          <w:bCs/>
          <w:i/>
          <w:iCs/>
        </w:rPr>
        <w:t>(EC)</w:t>
      </w:r>
      <w:r w:rsidRPr="006F457D">
        <w:rPr>
          <w:rFonts w:ascii="Trebuchet MS" w:hAnsi="Trebuchet MS"/>
          <w:bCs/>
        </w:rPr>
        <w:t xml:space="preserve"> 60010(c); 60200–60207).</w:t>
      </w:r>
    </w:p>
    <w:p w14:paraId="5C0967C1" w14:textId="77777777" w:rsidR="00EA7F4F" w:rsidRDefault="00EA7F4F" w:rsidP="00DC3605">
      <w:pPr>
        <w:pStyle w:val="NormalWeb"/>
        <w:jc w:val="both"/>
        <w:rPr>
          <w:rFonts w:ascii="Trebuchet MS" w:hAnsi="Trebuchet MS"/>
          <w:b/>
          <w:bCs/>
          <w:sz w:val="22"/>
        </w:rPr>
      </w:pPr>
    </w:p>
    <w:p w14:paraId="6FDE4EFF" w14:textId="77777777" w:rsidR="00EA7F4F" w:rsidRDefault="00EA7F4F" w:rsidP="00DC3605">
      <w:pPr>
        <w:pStyle w:val="NormalWeb"/>
        <w:jc w:val="both"/>
        <w:rPr>
          <w:rFonts w:ascii="Trebuchet MS" w:hAnsi="Trebuchet MS"/>
          <w:b/>
          <w:bCs/>
          <w:sz w:val="22"/>
        </w:rPr>
      </w:pPr>
    </w:p>
    <w:p w14:paraId="54EFE98A" w14:textId="3E897E74" w:rsidR="00FD68D2" w:rsidRPr="00EA7F4F" w:rsidRDefault="00DC3605" w:rsidP="00DC3605">
      <w:pPr>
        <w:pStyle w:val="NormalWeb"/>
        <w:jc w:val="both"/>
        <w:rPr>
          <w:rFonts w:ascii="Trebuchet MS" w:hAnsi="Trebuchet MS"/>
          <w:b/>
          <w:bCs/>
          <w:sz w:val="32"/>
          <w:szCs w:val="32"/>
        </w:rPr>
      </w:pPr>
      <w:r w:rsidRPr="00EA7F4F">
        <w:rPr>
          <w:rFonts w:ascii="Trebuchet MS" w:hAnsi="Trebuchet MS"/>
          <w:b/>
          <w:bCs/>
          <w:sz w:val="32"/>
          <w:szCs w:val="32"/>
        </w:rPr>
        <w:t xml:space="preserve">2016-2017 </w:t>
      </w:r>
      <w:r w:rsidR="00FD68D2" w:rsidRPr="00EA7F4F">
        <w:rPr>
          <w:rFonts w:ascii="Trebuchet MS" w:hAnsi="Trebuchet MS"/>
          <w:sz w:val="32"/>
          <w:szCs w:val="32"/>
        </w:rPr>
        <w:t>[three years out]</w:t>
      </w:r>
    </w:p>
    <w:p w14:paraId="32685411" w14:textId="03CFDA1D" w:rsidR="00DC3605" w:rsidRDefault="00DC3605" w:rsidP="00DC3605">
      <w:pPr>
        <w:pStyle w:val="NormalWeb"/>
        <w:jc w:val="both"/>
        <w:rPr>
          <w:rFonts w:ascii="Trebuchet MS" w:hAnsi="Trebuchet MS"/>
          <w:bCs/>
        </w:rPr>
      </w:pPr>
      <w:r w:rsidRPr="005A01A9">
        <w:rPr>
          <w:rFonts w:ascii="Trebuchet MS" w:hAnsi="Trebuchet MS"/>
          <w:b/>
          <w:bCs/>
        </w:rPr>
        <w:t xml:space="preserve">The </w:t>
      </w:r>
      <w:r w:rsidRPr="00DC3605">
        <w:rPr>
          <w:rFonts w:ascii="Trebuchet MS" w:hAnsi="Trebuchet MS"/>
          <w:b/>
          <w:bCs/>
          <w:i/>
        </w:rPr>
        <w:t>Implementation Phase</w:t>
      </w:r>
      <w:r w:rsidRPr="005A01A9">
        <w:rPr>
          <w:rFonts w:ascii="Trebuchet MS" w:hAnsi="Trebuchet MS"/>
          <w:bCs/>
        </w:rPr>
        <w:t xml:space="preserve"> </w:t>
      </w:r>
      <w:r>
        <w:rPr>
          <w:rFonts w:ascii="Trebuchet MS" w:hAnsi="Trebuchet MS"/>
          <w:bCs/>
        </w:rPr>
        <w:t xml:space="preserve">(@ the CDE level begins) </w:t>
      </w:r>
      <w:r w:rsidRPr="005A01A9">
        <w:rPr>
          <w:rFonts w:ascii="Trebuchet MS" w:hAnsi="Trebuchet MS"/>
          <w:bCs/>
        </w:rPr>
        <w:t>expands the new professional learning support, fully aligns curriculum, instruction, and assessments, and effectively integrates these elements across the field</w:t>
      </w:r>
    </w:p>
    <w:p w14:paraId="12DF3764" w14:textId="092CB506" w:rsidR="00FD68D2" w:rsidRPr="00EA7F4F" w:rsidRDefault="00FD68D2" w:rsidP="00DC3605">
      <w:pPr>
        <w:pStyle w:val="NormalWeb"/>
        <w:jc w:val="both"/>
        <w:rPr>
          <w:rFonts w:ascii="Trebuchet MS" w:hAnsi="Trebuchet MS"/>
          <w:b/>
          <w:bCs/>
          <w:sz w:val="32"/>
          <w:szCs w:val="32"/>
        </w:rPr>
      </w:pPr>
      <w:r w:rsidRPr="00EA7F4F">
        <w:rPr>
          <w:rFonts w:ascii="Trebuchet MS" w:hAnsi="Trebuchet MS"/>
          <w:b/>
          <w:bCs/>
          <w:sz w:val="32"/>
          <w:szCs w:val="32"/>
        </w:rPr>
        <w:t xml:space="preserve">2017-2018 </w:t>
      </w:r>
      <w:r w:rsidRPr="00EA7F4F">
        <w:rPr>
          <w:rFonts w:ascii="Trebuchet MS" w:hAnsi="Trebuchet MS"/>
          <w:sz w:val="32"/>
          <w:szCs w:val="32"/>
        </w:rPr>
        <w:t>[Four years out]</w:t>
      </w:r>
    </w:p>
    <w:p w14:paraId="12F1C9EC" w14:textId="29E27846" w:rsidR="002C2423" w:rsidRPr="00273C29" w:rsidRDefault="00FD68D2" w:rsidP="00273C29">
      <w:pPr>
        <w:pStyle w:val="NormalWeb"/>
        <w:rPr>
          <w:rFonts w:ascii="Trebuchet MS" w:hAnsi="Trebuchet MS"/>
          <w:bCs/>
        </w:rPr>
      </w:pPr>
      <w:r w:rsidRPr="00FD68D2">
        <w:rPr>
          <w:rFonts w:ascii="Trebuchet MS" w:hAnsi="Trebuchet MS"/>
          <w:b/>
          <w:bCs/>
        </w:rPr>
        <w:t xml:space="preserve">When will new textbooks and instructional materials be available? </w:t>
      </w:r>
      <w:r w:rsidRPr="00FD68D2">
        <w:rPr>
          <w:rFonts w:ascii="Trebuchet MS" w:hAnsi="Trebuchet MS"/>
          <w:bCs/>
        </w:rPr>
        <w:br/>
        <w:t xml:space="preserve">After the SBE adopts a new Science Curriculum Framework, the review of publisher submitted Instructional Materials begins. </w:t>
      </w:r>
      <w:r w:rsidRPr="00FD68D2">
        <w:rPr>
          <w:rFonts w:ascii="Trebuchet MS" w:hAnsi="Trebuchet MS"/>
          <w:bCs/>
          <w:highlight w:val="yellow"/>
        </w:rPr>
        <w:t>New instructional materials for science should be available early 2018.</w:t>
      </w:r>
    </w:p>
    <w:p w14:paraId="60DC13D0" w14:textId="77777777" w:rsidR="002C2423" w:rsidRPr="00742701" w:rsidRDefault="002C2423">
      <w:pPr>
        <w:rPr>
          <w:rFonts w:ascii="Trebuchet MS" w:hAnsi="Trebuchet MS"/>
        </w:rPr>
      </w:pPr>
    </w:p>
    <w:p w14:paraId="75F0EB6D" w14:textId="77777777" w:rsidR="002C2423" w:rsidRPr="00742701" w:rsidRDefault="002C2423">
      <w:pPr>
        <w:rPr>
          <w:rFonts w:ascii="Trebuchet MS" w:hAnsi="Trebuchet MS"/>
        </w:rPr>
      </w:pPr>
    </w:p>
    <w:p w14:paraId="36849EC6" w14:textId="77777777" w:rsidR="002C2423" w:rsidRPr="00742701" w:rsidRDefault="002C2423">
      <w:pPr>
        <w:rPr>
          <w:rFonts w:ascii="Trebuchet MS" w:hAnsi="Trebuchet MS"/>
        </w:rPr>
      </w:pPr>
    </w:p>
    <w:sectPr w:rsidR="002C2423" w:rsidRPr="00742701" w:rsidSect="0096714B">
      <w:pgSz w:w="12240" w:h="15840"/>
      <w:pgMar w:top="990" w:right="1350" w:bottom="135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10BC" w14:textId="77777777" w:rsidR="000C3F02" w:rsidRDefault="000C3F02" w:rsidP="0062488B">
      <w:r>
        <w:separator/>
      </w:r>
    </w:p>
  </w:endnote>
  <w:endnote w:type="continuationSeparator" w:id="0">
    <w:p w14:paraId="42C92E44" w14:textId="77777777" w:rsidR="000C3F02" w:rsidRDefault="000C3F02" w:rsidP="006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DAF16" w14:textId="77777777" w:rsidR="000C3F02" w:rsidRDefault="000C3F02" w:rsidP="0062488B">
      <w:r>
        <w:separator/>
      </w:r>
    </w:p>
  </w:footnote>
  <w:footnote w:type="continuationSeparator" w:id="0">
    <w:p w14:paraId="0ED6DD00" w14:textId="77777777" w:rsidR="000C3F02" w:rsidRDefault="000C3F02" w:rsidP="0062488B">
      <w:r>
        <w:continuationSeparator/>
      </w:r>
    </w:p>
  </w:footnote>
  <w:footnote w:id="1">
    <w:p w14:paraId="4A76CF08" w14:textId="119444A7" w:rsidR="000C3F02" w:rsidRDefault="000C3F02">
      <w:pPr>
        <w:pStyle w:val="FootnoteText"/>
      </w:pPr>
      <w:r>
        <w:rPr>
          <w:rStyle w:val="FootnoteReference"/>
        </w:rPr>
        <w:footnoteRef/>
      </w:r>
      <w:r>
        <w:t xml:space="preserve"> </w:t>
      </w:r>
      <w:r w:rsidRPr="00841436">
        <w:rPr>
          <w:rFonts w:ascii="Trebuchet MS" w:hAnsi="Trebuchet MS"/>
          <w:sz w:val="18"/>
        </w:rPr>
        <w:t xml:space="preserve">For more timely information from the CDE and the NGSS go to </w:t>
      </w:r>
      <w:r w:rsidRPr="00841436">
        <w:rPr>
          <w:rFonts w:ascii="Trebuchet MS" w:eastAsia="Times New Roman" w:hAnsi="Trebuchet MS" w:cs="Times New Roman"/>
          <w:sz w:val="18"/>
        </w:rPr>
        <w:fldChar w:fldCharType="begin"/>
      </w:r>
      <w:r w:rsidRPr="00841436">
        <w:rPr>
          <w:rFonts w:ascii="Trebuchet MS" w:eastAsia="Times New Roman" w:hAnsi="Trebuchet MS" w:cs="Times New Roman"/>
          <w:sz w:val="18"/>
        </w:rPr>
        <w:instrText xml:space="preserve"> HYPERLINK "http://www.cde.ca.gov/pd/ca/sc/ngssfaq.asp" \t "_blank" </w:instrText>
      </w:r>
      <w:r w:rsidRPr="00841436">
        <w:rPr>
          <w:rFonts w:ascii="Trebuchet MS" w:eastAsia="Times New Roman" w:hAnsi="Trebuchet MS" w:cs="Times New Roman"/>
          <w:sz w:val="18"/>
        </w:rPr>
        <w:fldChar w:fldCharType="separate"/>
      </w:r>
      <w:r w:rsidRPr="00841436">
        <w:rPr>
          <w:rStyle w:val="Hyperlink"/>
          <w:rFonts w:ascii="Trebuchet MS" w:eastAsia="Times New Roman" w:hAnsi="Trebuchet MS" w:cs="Times New Roman"/>
          <w:sz w:val="18"/>
        </w:rPr>
        <w:t>CDE FAQs on NGSS</w:t>
      </w:r>
      <w:r w:rsidRPr="00841436">
        <w:rPr>
          <w:rFonts w:ascii="Trebuchet MS" w:eastAsia="Times New Roman" w:hAnsi="Trebuchet MS" w:cs="Times New Roman"/>
          <w:sz w:val="18"/>
        </w:rPr>
        <w:fldChar w:fldCharType="end"/>
      </w:r>
      <w:r w:rsidRPr="00841436">
        <w:rPr>
          <w:sz w:val="18"/>
        </w:rPr>
        <w:t xml:space="preserve"> </w:t>
      </w:r>
    </w:p>
  </w:footnote>
  <w:footnote w:id="2">
    <w:p w14:paraId="22270370" w14:textId="2466500F" w:rsidR="000C3F02" w:rsidRDefault="000C3F02">
      <w:pPr>
        <w:pStyle w:val="FootnoteText"/>
      </w:pPr>
      <w:r>
        <w:rPr>
          <w:rStyle w:val="FootnoteReference"/>
        </w:rPr>
        <w:footnoteRef/>
      </w:r>
      <w:r>
        <w:t xml:space="preserve"> </w:t>
      </w:r>
      <w:r w:rsidRPr="00340617">
        <w:rPr>
          <w:rFonts w:ascii="Trebuchet MS" w:hAnsi="Trebuchet MS"/>
          <w:sz w:val="18"/>
          <w:szCs w:val="18"/>
        </w:rPr>
        <w:t>At this time (1/11/2014), I am not sure if these documents map the adopted MS course model(s).</w:t>
      </w:r>
    </w:p>
  </w:footnote>
  <w:footnote w:id="3">
    <w:p w14:paraId="670D7D16" w14:textId="10AD7F94" w:rsidR="000C3F02" w:rsidRPr="0062488B" w:rsidRDefault="000C3F02" w:rsidP="0062488B">
      <w:pPr>
        <w:spacing w:before="100" w:beforeAutospacing="1" w:after="100" w:afterAutospacing="1"/>
        <w:jc w:val="both"/>
        <w:rPr>
          <w:rFonts w:ascii="Trebuchet MS" w:eastAsia="Times New Roman" w:hAnsi="Trebuchet MS" w:cs="Times New Roman"/>
          <w:sz w:val="20"/>
          <w:szCs w:val="20"/>
        </w:rPr>
      </w:pPr>
      <w:r>
        <w:rPr>
          <w:rStyle w:val="FootnoteReference"/>
        </w:rPr>
        <w:footnoteRef/>
      </w:r>
      <w:r>
        <w:t xml:space="preserve"> </w:t>
      </w:r>
      <w:r w:rsidRPr="0062488B">
        <w:rPr>
          <w:rFonts w:ascii="Trebuchet MS" w:eastAsia="Times New Roman" w:hAnsi="Trebuchet MS" w:cs="Times New Roman"/>
          <w:b/>
          <w:bCs/>
          <w:sz w:val="20"/>
          <w:szCs w:val="20"/>
        </w:rPr>
        <w:t>Assessment Development and Administration Division</w:t>
      </w:r>
      <w:r>
        <w:rPr>
          <w:rFonts w:ascii="Trebuchet MS" w:eastAsia="Times New Roman" w:hAnsi="Trebuchet MS" w:cs="Times New Roman"/>
          <w:b/>
          <w:bCs/>
          <w:sz w:val="20"/>
          <w:szCs w:val="20"/>
        </w:rPr>
        <w:t xml:space="preserve"> </w:t>
      </w:r>
      <w:r w:rsidRPr="0062488B">
        <w:rPr>
          <w:rFonts w:ascii="Trebuchet MS" w:eastAsia="Times New Roman" w:hAnsi="Trebuchet MS" w:cs="Times New Roman"/>
          <w:b/>
          <w:bCs/>
          <w:sz w:val="20"/>
          <w:szCs w:val="20"/>
        </w:rPr>
        <w:t>District, School, and Innovation Branch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96F"/>
    <w:multiLevelType w:val="multilevel"/>
    <w:tmpl w:val="D73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9404F"/>
    <w:multiLevelType w:val="hybridMultilevel"/>
    <w:tmpl w:val="9D4C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B70C7"/>
    <w:multiLevelType w:val="hybridMultilevel"/>
    <w:tmpl w:val="C542E76A"/>
    <w:lvl w:ilvl="0" w:tplc="0409000F">
      <w:start w:val="1"/>
      <w:numFmt w:val="decimal"/>
      <w:lvlText w:val="%1."/>
      <w:lvlJc w:val="left"/>
      <w:pPr>
        <w:ind w:left="861" w:hanging="360"/>
      </w:pPr>
      <w:rPr>
        <w:rFonts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2DBB1C63"/>
    <w:multiLevelType w:val="multilevel"/>
    <w:tmpl w:val="5F0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02C88"/>
    <w:multiLevelType w:val="hybridMultilevel"/>
    <w:tmpl w:val="420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574C0"/>
    <w:multiLevelType w:val="multilevel"/>
    <w:tmpl w:val="5D54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12652"/>
    <w:multiLevelType w:val="multilevel"/>
    <w:tmpl w:val="AD4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769C3"/>
    <w:multiLevelType w:val="multilevel"/>
    <w:tmpl w:val="7D3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93099"/>
    <w:multiLevelType w:val="hybridMultilevel"/>
    <w:tmpl w:val="2232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76178"/>
    <w:multiLevelType w:val="hybridMultilevel"/>
    <w:tmpl w:val="E43C7662"/>
    <w:lvl w:ilvl="0" w:tplc="174C17C2">
      <w:start w:val="1"/>
      <w:numFmt w:val="decimal"/>
      <w:lvlText w:val="%1."/>
      <w:lvlJc w:val="left"/>
      <w:pPr>
        <w:ind w:left="472" w:hanging="313"/>
        <w:jc w:val="left"/>
      </w:pPr>
      <w:rPr>
        <w:rFonts w:ascii="Trebuchet MS" w:eastAsia="Times New Roman" w:hAnsi="Trebuchet MS" w:hint="default"/>
        <w:color w:val="444448"/>
        <w:w w:val="103"/>
        <w:sz w:val="22"/>
        <w:szCs w:val="22"/>
      </w:rPr>
    </w:lvl>
    <w:lvl w:ilvl="1" w:tplc="995E4184">
      <w:start w:val="1"/>
      <w:numFmt w:val="bullet"/>
      <w:lvlText w:val="•"/>
      <w:lvlJc w:val="left"/>
      <w:pPr>
        <w:ind w:left="1400" w:hanging="313"/>
      </w:pPr>
      <w:rPr>
        <w:rFonts w:hint="default"/>
      </w:rPr>
    </w:lvl>
    <w:lvl w:ilvl="2" w:tplc="E932E0B8">
      <w:start w:val="1"/>
      <w:numFmt w:val="bullet"/>
      <w:lvlText w:val="•"/>
      <w:lvlJc w:val="left"/>
      <w:pPr>
        <w:ind w:left="2329" w:hanging="313"/>
      </w:pPr>
      <w:rPr>
        <w:rFonts w:hint="default"/>
      </w:rPr>
    </w:lvl>
    <w:lvl w:ilvl="3" w:tplc="6ECC1356">
      <w:start w:val="1"/>
      <w:numFmt w:val="bullet"/>
      <w:lvlText w:val="•"/>
      <w:lvlJc w:val="left"/>
      <w:pPr>
        <w:ind w:left="3258" w:hanging="313"/>
      </w:pPr>
      <w:rPr>
        <w:rFonts w:hint="default"/>
      </w:rPr>
    </w:lvl>
    <w:lvl w:ilvl="4" w:tplc="52BC913C">
      <w:start w:val="1"/>
      <w:numFmt w:val="bullet"/>
      <w:lvlText w:val="•"/>
      <w:lvlJc w:val="left"/>
      <w:pPr>
        <w:ind w:left="4187" w:hanging="313"/>
      </w:pPr>
      <w:rPr>
        <w:rFonts w:hint="default"/>
      </w:rPr>
    </w:lvl>
    <w:lvl w:ilvl="5" w:tplc="10AE5BC6">
      <w:start w:val="1"/>
      <w:numFmt w:val="bullet"/>
      <w:lvlText w:val="•"/>
      <w:lvlJc w:val="left"/>
      <w:pPr>
        <w:ind w:left="5116" w:hanging="313"/>
      </w:pPr>
      <w:rPr>
        <w:rFonts w:hint="default"/>
      </w:rPr>
    </w:lvl>
    <w:lvl w:ilvl="6" w:tplc="552CEDD4">
      <w:start w:val="1"/>
      <w:numFmt w:val="bullet"/>
      <w:lvlText w:val="•"/>
      <w:lvlJc w:val="left"/>
      <w:pPr>
        <w:ind w:left="6044" w:hanging="313"/>
      </w:pPr>
      <w:rPr>
        <w:rFonts w:hint="default"/>
      </w:rPr>
    </w:lvl>
    <w:lvl w:ilvl="7" w:tplc="889AED6C">
      <w:start w:val="1"/>
      <w:numFmt w:val="bullet"/>
      <w:lvlText w:val="•"/>
      <w:lvlJc w:val="left"/>
      <w:pPr>
        <w:ind w:left="6973" w:hanging="313"/>
      </w:pPr>
      <w:rPr>
        <w:rFonts w:hint="default"/>
      </w:rPr>
    </w:lvl>
    <w:lvl w:ilvl="8" w:tplc="F628FA6C">
      <w:start w:val="1"/>
      <w:numFmt w:val="bullet"/>
      <w:lvlText w:val="•"/>
      <w:lvlJc w:val="left"/>
      <w:pPr>
        <w:ind w:left="7902" w:hanging="313"/>
      </w:pPr>
      <w:rPr>
        <w:rFonts w:hint="default"/>
      </w:rPr>
    </w:lvl>
  </w:abstractNum>
  <w:num w:numId="1">
    <w:abstractNumId w:val="1"/>
  </w:num>
  <w:num w:numId="2">
    <w:abstractNumId w:val="8"/>
  </w:num>
  <w:num w:numId="3">
    <w:abstractNumId w:val="4"/>
  </w:num>
  <w:num w:numId="4">
    <w:abstractNumId w:val="5"/>
  </w:num>
  <w:num w:numId="5">
    <w:abstractNumId w:val="3"/>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3C"/>
    <w:rsid w:val="00053950"/>
    <w:rsid w:val="00083A90"/>
    <w:rsid w:val="000975AF"/>
    <w:rsid w:val="000C3F02"/>
    <w:rsid w:val="0015508C"/>
    <w:rsid w:val="0016213C"/>
    <w:rsid w:val="0021755B"/>
    <w:rsid w:val="002268A9"/>
    <w:rsid w:val="00273C29"/>
    <w:rsid w:val="002C2423"/>
    <w:rsid w:val="00340617"/>
    <w:rsid w:val="003451AB"/>
    <w:rsid w:val="00406421"/>
    <w:rsid w:val="00430537"/>
    <w:rsid w:val="0056392E"/>
    <w:rsid w:val="005A01A9"/>
    <w:rsid w:val="005A1008"/>
    <w:rsid w:val="0062488B"/>
    <w:rsid w:val="006A176C"/>
    <w:rsid w:val="006B38B3"/>
    <w:rsid w:val="006F0F56"/>
    <w:rsid w:val="006F457D"/>
    <w:rsid w:val="00721EFC"/>
    <w:rsid w:val="00742701"/>
    <w:rsid w:val="007E2459"/>
    <w:rsid w:val="00815683"/>
    <w:rsid w:val="00841436"/>
    <w:rsid w:val="0087194B"/>
    <w:rsid w:val="008B1051"/>
    <w:rsid w:val="0096714B"/>
    <w:rsid w:val="00A13CA4"/>
    <w:rsid w:val="00A810F1"/>
    <w:rsid w:val="00A91A1E"/>
    <w:rsid w:val="00A949B4"/>
    <w:rsid w:val="00AF6E53"/>
    <w:rsid w:val="00B61016"/>
    <w:rsid w:val="00BC1C94"/>
    <w:rsid w:val="00BC7B8A"/>
    <w:rsid w:val="00BD470B"/>
    <w:rsid w:val="00C76C41"/>
    <w:rsid w:val="00CC6CA9"/>
    <w:rsid w:val="00CD4A52"/>
    <w:rsid w:val="00DC3605"/>
    <w:rsid w:val="00E44F3C"/>
    <w:rsid w:val="00EA7F4F"/>
    <w:rsid w:val="00F87087"/>
    <w:rsid w:val="00F90F8B"/>
    <w:rsid w:val="00FD68D2"/>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A1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27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23"/>
    <w:pPr>
      <w:ind w:left="720"/>
      <w:contextualSpacing/>
    </w:pPr>
  </w:style>
  <w:style w:type="character" w:styleId="Hyperlink">
    <w:name w:val="Hyperlink"/>
    <w:basedOn w:val="DefaultParagraphFont"/>
    <w:uiPriority w:val="99"/>
    <w:unhideWhenUsed/>
    <w:rsid w:val="002C2423"/>
    <w:rPr>
      <w:color w:val="0000FF" w:themeColor="hyperlink"/>
      <w:u w:val="single"/>
    </w:rPr>
  </w:style>
  <w:style w:type="character" w:customStyle="1" w:styleId="greyheader">
    <w:name w:val="grey_header"/>
    <w:basedOn w:val="DefaultParagraphFont"/>
    <w:rsid w:val="00C76C41"/>
  </w:style>
  <w:style w:type="character" w:customStyle="1" w:styleId="smgrey">
    <w:name w:val="smgrey"/>
    <w:basedOn w:val="DefaultParagraphFont"/>
    <w:rsid w:val="00C76C41"/>
  </w:style>
  <w:style w:type="paragraph" w:styleId="NormalWeb">
    <w:name w:val="Normal (Web)"/>
    <w:basedOn w:val="Normal"/>
    <w:uiPriority w:val="99"/>
    <w:unhideWhenUsed/>
    <w:rsid w:val="00CD4A52"/>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742701"/>
    <w:rPr>
      <w:rFonts w:ascii="Times" w:hAnsi="Times"/>
      <w:b/>
      <w:bCs/>
    </w:rPr>
  </w:style>
  <w:style w:type="character" w:styleId="Strong">
    <w:name w:val="Strong"/>
    <w:basedOn w:val="DefaultParagraphFont"/>
    <w:uiPriority w:val="22"/>
    <w:qFormat/>
    <w:rsid w:val="00DC3605"/>
    <w:rPr>
      <w:b/>
      <w:bCs/>
    </w:rPr>
  </w:style>
  <w:style w:type="character" w:styleId="Emphasis">
    <w:name w:val="Emphasis"/>
    <w:basedOn w:val="DefaultParagraphFont"/>
    <w:uiPriority w:val="20"/>
    <w:qFormat/>
    <w:rsid w:val="00DC3605"/>
    <w:rPr>
      <w:i/>
      <w:iCs/>
    </w:rPr>
  </w:style>
  <w:style w:type="paragraph" w:styleId="BalloonText">
    <w:name w:val="Balloon Text"/>
    <w:basedOn w:val="Normal"/>
    <w:link w:val="BalloonTextChar"/>
    <w:uiPriority w:val="99"/>
    <w:semiHidden/>
    <w:unhideWhenUsed/>
    <w:rsid w:val="00DC3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05"/>
    <w:rPr>
      <w:rFonts w:ascii="Lucida Grande" w:hAnsi="Lucida Grande" w:cs="Lucida Grande"/>
      <w:sz w:val="18"/>
      <w:szCs w:val="18"/>
    </w:rPr>
  </w:style>
  <w:style w:type="paragraph" w:styleId="FootnoteText">
    <w:name w:val="footnote text"/>
    <w:basedOn w:val="Normal"/>
    <w:link w:val="FootnoteTextChar"/>
    <w:uiPriority w:val="99"/>
    <w:unhideWhenUsed/>
    <w:rsid w:val="0062488B"/>
  </w:style>
  <w:style w:type="character" w:customStyle="1" w:styleId="FootnoteTextChar">
    <w:name w:val="Footnote Text Char"/>
    <w:basedOn w:val="DefaultParagraphFont"/>
    <w:link w:val="FootnoteText"/>
    <w:uiPriority w:val="99"/>
    <w:rsid w:val="0062488B"/>
  </w:style>
  <w:style w:type="character" w:styleId="FootnoteReference">
    <w:name w:val="footnote reference"/>
    <w:basedOn w:val="DefaultParagraphFont"/>
    <w:uiPriority w:val="99"/>
    <w:unhideWhenUsed/>
    <w:rsid w:val="0062488B"/>
    <w:rPr>
      <w:vertAlign w:val="superscript"/>
    </w:rPr>
  </w:style>
  <w:style w:type="character" w:styleId="FollowedHyperlink">
    <w:name w:val="FollowedHyperlink"/>
    <w:basedOn w:val="DefaultParagraphFont"/>
    <w:uiPriority w:val="99"/>
    <w:semiHidden/>
    <w:unhideWhenUsed/>
    <w:rsid w:val="006F0F56"/>
    <w:rPr>
      <w:color w:val="800080" w:themeColor="followedHyperlink"/>
      <w:u w:val="single"/>
    </w:rPr>
  </w:style>
  <w:style w:type="paragraph" w:styleId="BodyText">
    <w:name w:val="Body Text"/>
    <w:basedOn w:val="Normal"/>
    <w:link w:val="BodyTextChar"/>
    <w:uiPriority w:val="1"/>
    <w:qFormat/>
    <w:rsid w:val="00EA7F4F"/>
    <w:pPr>
      <w:widowControl w:val="0"/>
      <w:ind w:left="472" w:hanging="33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EA7F4F"/>
    <w:rPr>
      <w:rFonts w:ascii="Times New Roman" w:eastAsia="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427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23"/>
    <w:pPr>
      <w:ind w:left="720"/>
      <w:contextualSpacing/>
    </w:pPr>
  </w:style>
  <w:style w:type="character" w:styleId="Hyperlink">
    <w:name w:val="Hyperlink"/>
    <w:basedOn w:val="DefaultParagraphFont"/>
    <w:uiPriority w:val="99"/>
    <w:unhideWhenUsed/>
    <w:rsid w:val="002C2423"/>
    <w:rPr>
      <w:color w:val="0000FF" w:themeColor="hyperlink"/>
      <w:u w:val="single"/>
    </w:rPr>
  </w:style>
  <w:style w:type="character" w:customStyle="1" w:styleId="greyheader">
    <w:name w:val="grey_header"/>
    <w:basedOn w:val="DefaultParagraphFont"/>
    <w:rsid w:val="00C76C41"/>
  </w:style>
  <w:style w:type="character" w:customStyle="1" w:styleId="smgrey">
    <w:name w:val="smgrey"/>
    <w:basedOn w:val="DefaultParagraphFont"/>
    <w:rsid w:val="00C76C41"/>
  </w:style>
  <w:style w:type="paragraph" w:styleId="NormalWeb">
    <w:name w:val="Normal (Web)"/>
    <w:basedOn w:val="Normal"/>
    <w:uiPriority w:val="99"/>
    <w:unhideWhenUsed/>
    <w:rsid w:val="00CD4A52"/>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742701"/>
    <w:rPr>
      <w:rFonts w:ascii="Times" w:hAnsi="Times"/>
      <w:b/>
      <w:bCs/>
    </w:rPr>
  </w:style>
  <w:style w:type="character" w:styleId="Strong">
    <w:name w:val="Strong"/>
    <w:basedOn w:val="DefaultParagraphFont"/>
    <w:uiPriority w:val="22"/>
    <w:qFormat/>
    <w:rsid w:val="00DC3605"/>
    <w:rPr>
      <w:b/>
      <w:bCs/>
    </w:rPr>
  </w:style>
  <w:style w:type="character" w:styleId="Emphasis">
    <w:name w:val="Emphasis"/>
    <w:basedOn w:val="DefaultParagraphFont"/>
    <w:uiPriority w:val="20"/>
    <w:qFormat/>
    <w:rsid w:val="00DC3605"/>
    <w:rPr>
      <w:i/>
      <w:iCs/>
    </w:rPr>
  </w:style>
  <w:style w:type="paragraph" w:styleId="BalloonText">
    <w:name w:val="Balloon Text"/>
    <w:basedOn w:val="Normal"/>
    <w:link w:val="BalloonTextChar"/>
    <w:uiPriority w:val="99"/>
    <w:semiHidden/>
    <w:unhideWhenUsed/>
    <w:rsid w:val="00DC3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05"/>
    <w:rPr>
      <w:rFonts w:ascii="Lucida Grande" w:hAnsi="Lucida Grande" w:cs="Lucida Grande"/>
      <w:sz w:val="18"/>
      <w:szCs w:val="18"/>
    </w:rPr>
  </w:style>
  <w:style w:type="paragraph" w:styleId="FootnoteText">
    <w:name w:val="footnote text"/>
    <w:basedOn w:val="Normal"/>
    <w:link w:val="FootnoteTextChar"/>
    <w:uiPriority w:val="99"/>
    <w:unhideWhenUsed/>
    <w:rsid w:val="0062488B"/>
  </w:style>
  <w:style w:type="character" w:customStyle="1" w:styleId="FootnoteTextChar">
    <w:name w:val="Footnote Text Char"/>
    <w:basedOn w:val="DefaultParagraphFont"/>
    <w:link w:val="FootnoteText"/>
    <w:uiPriority w:val="99"/>
    <w:rsid w:val="0062488B"/>
  </w:style>
  <w:style w:type="character" w:styleId="FootnoteReference">
    <w:name w:val="footnote reference"/>
    <w:basedOn w:val="DefaultParagraphFont"/>
    <w:uiPriority w:val="99"/>
    <w:unhideWhenUsed/>
    <w:rsid w:val="0062488B"/>
    <w:rPr>
      <w:vertAlign w:val="superscript"/>
    </w:rPr>
  </w:style>
  <w:style w:type="character" w:styleId="FollowedHyperlink">
    <w:name w:val="FollowedHyperlink"/>
    <w:basedOn w:val="DefaultParagraphFont"/>
    <w:uiPriority w:val="99"/>
    <w:semiHidden/>
    <w:unhideWhenUsed/>
    <w:rsid w:val="006F0F56"/>
    <w:rPr>
      <w:color w:val="800080" w:themeColor="followedHyperlink"/>
      <w:u w:val="single"/>
    </w:rPr>
  </w:style>
  <w:style w:type="paragraph" w:styleId="BodyText">
    <w:name w:val="Body Text"/>
    <w:basedOn w:val="Normal"/>
    <w:link w:val="BodyTextChar"/>
    <w:uiPriority w:val="1"/>
    <w:qFormat/>
    <w:rsid w:val="00EA7F4F"/>
    <w:pPr>
      <w:widowControl w:val="0"/>
      <w:ind w:left="472" w:hanging="33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EA7F4F"/>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9654">
      <w:bodyDiv w:val="1"/>
      <w:marLeft w:val="0"/>
      <w:marRight w:val="0"/>
      <w:marTop w:val="0"/>
      <w:marBottom w:val="0"/>
      <w:divBdr>
        <w:top w:val="none" w:sz="0" w:space="0" w:color="auto"/>
        <w:left w:val="none" w:sz="0" w:space="0" w:color="auto"/>
        <w:bottom w:val="none" w:sz="0" w:space="0" w:color="auto"/>
        <w:right w:val="none" w:sz="0" w:space="0" w:color="auto"/>
      </w:divBdr>
    </w:div>
    <w:div w:id="342587619">
      <w:bodyDiv w:val="1"/>
      <w:marLeft w:val="0"/>
      <w:marRight w:val="0"/>
      <w:marTop w:val="0"/>
      <w:marBottom w:val="0"/>
      <w:divBdr>
        <w:top w:val="none" w:sz="0" w:space="0" w:color="auto"/>
        <w:left w:val="none" w:sz="0" w:space="0" w:color="auto"/>
        <w:bottom w:val="none" w:sz="0" w:space="0" w:color="auto"/>
        <w:right w:val="none" w:sz="0" w:space="0" w:color="auto"/>
      </w:divBdr>
    </w:div>
    <w:div w:id="355933343">
      <w:bodyDiv w:val="1"/>
      <w:marLeft w:val="0"/>
      <w:marRight w:val="0"/>
      <w:marTop w:val="0"/>
      <w:marBottom w:val="0"/>
      <w:divBdr>
        <w:top w:val="none" w:sz="0" w:space="0" w:color="auto"/>
        <w:left w:val="none" w:sz="0" w:space="0" w:color="auto"/>
        <w:bottom w:val="none" w:sz="0" w:space="0" w:color="auto"/>
        <w:right w:val="none" w:sz="0" w:space="0" w:color="auto"/>
      </w:divBdr>
    </w:div>
    <w:div w:id="835535365">
      <w:bodyDiv w:val="1"/>
      <w:marLeft w:val="0"/>
      <w:marRight w:val="0"/>
      <w:marTop w:val="0"/>
      <w:marBottom w:val="0"/>
      <w:divBdr>
        <w:top w:val="none" w:sz="0" w:space="0" w:color="auto"/>
        <w:left w:val="none" w:sz="0" w:space="0" w:color="auto"/>
        <w:bottom w:val="none" w:sz="0" w:space="0" w:color="auto"/>
        <w:right w:val="none" w:sz="0" w:space="0" w:color="auto"/>
      </w:divBdr>
    </w:div>
    <w:div w:id="1375615594">
      <w:bodyDiv w:val="1"/>
      <w:marLeft w:val="0"/>
      <w:marRight w:val="0"/>
      <w:marTop w:val="0"/>
      <w:marBottom w:val="0"/>
      <w:divBdr>
        <w:top w:val="none" w:sz="0" w:space="0" w:color="auto"/>
        <w:left w:val="none" w:sz="0" w:space="0" w:color="auto"/>
        <w:bottom w:val="none" w:sz="0" w:space="0" w:color="auto"/>
        <w:right w:val="none" w:sz="0" w:space="0" w:color="auto"/>
      </w:divBdr>
    </w:div>
    <w:div w:id="1493763763">
      <w:bodyDiv w:val="1"/>
      <w:marLeft w:val="0"/>
      <w:marRight w:val="0"/>
      <w:marTop w:val="0"/>
      <w:marBottom w:val="0"/>
      <w:divBdr>
        <w:top w:val="none" w:sz="0" w:space="0" w:color="auto"/>
        <w:left w:val="none" w:sz="0" w:space="0" w:color="auto"/>
        <w:bottom w:val="none" w:sz="0" w:space="0" w:color="auto"/>
        <w:right w:val="none" w:sz="0" w:space="0" w:color="auto"/>
      </w:divBdr>
    </w:div>
    <w:div w:id="1704598967">
      <w:bodyDiv w:val="1"/>
      <w:marLeft w:val="0"/>
      <w:marRight w:val="0"/>
      <w:marTop w:val="0"/>
      <w:marBottom w:val="0"/>
      <w:divBdr>
        <w:top w:val="none" w:sz="0" w:space="0" w:color="auto"/>
        <w:left w:val="none" w:sz="0" w:space="0" w:color="auto"/>
        <w:bottom w:val="none" w:sz="0" w:space="0" w:color="auto"/>
        <w:right w:val="none" w:sz="0" w:space="0" w:color="auto"/>
      </w:divBdr>
    </w:div>
    <w:div w:id="1833638568">
      <w:bodyDiv w:val="1"/>
      <w:marLeft w:val="0"/>
      <w:marRight w:val="0"/>
      <w:marTop w:val="0"/>
      <w:marBottom w:val="0"/>
      <w:divBdr>
        <w:top w:val="none" w:sz="0" w:space="0" w:color="auto"/>
        <w:left w:val="none" w:sz="0" w:space="0" w:color="auto"/>
        <w:bottom w:val="none" w:sz="0" w:space="0" w:color="auto"/>
        <w:right w:val="none" w:sz="0" w:space="0" w:color="auto"/>
      </w:divBdr>
    </w:div>
    <w:div w:id="1888370540">
      <w:bodyDiv w:val="1"/>
      <w:marLeft w:val="0"/>
      <w:marRight w:val="0"/>
      <w:marTop w:val="0"/>
      <w:marBottom w:val="0"/>
      <w:divBdr>
        <w:top w:val="none" w:sz="0" w:space="0" w:color="auto"/>
        <w:left w:val="none" w:sz="0" w:space="0" w:color="auto"/>
        <w:bottom w:val="none" w:sz="0" w:space="0" w:color="auto"/>
        <w:right w:val="none" w:sz="0" w:space="0" w:color="auto"/>
      </w:divBdr>
    </w:div>
    <w:div w:id="1909413943">
      <w:bodyDiv w:val="1"/>
      <w:marLeft w:val="0"/>
      <w:marRight w:val="0"/>
      <w:marTop w:val="0"/>
      <w:marBottom w:val="0"/>
      <w:divBdr>
        <w:top w:val="none" w:sz="0" w:space="0" w:color="auto"/>
        <w:left w:val="none" w:sz="0" w:space="0" w:color="auto"/>
        <w:bottom w:val="none" w:sz="0" w:space="0" w:color="auto"/>
        <w:right w:val="none" w:sz="0" w:space="0" w:color="auto"/>
      </w:divBdr>
    </w:div>
    <w:div w:id="1936748693">
      <w:bodyDiv w:val="1"/>
      <w:marLeft w:val="0"/>
      <w:marRight w:val="0"/>
      <w:marTop w:val="0"/>
      <w:marBottom w:val="0"/>
      <w:divBdr>
        <w:top w:val="none" w:sz="0" w:space="0" w:color="auto"/>
        <w:left w:val="none" w:sz="0" w:space="0" w:color="auto"/>
        <w:bottom w:val="none" w:sz="0" w:space="0" w:color="auto"/>
        <w:right w:val="none" w:sz="0" w:space="0" w:color="auto"/>
      </w:divBdr>
      <w:divsChild>
        <w:div w:id="1388604166">
          <w:marLeft w:val="0"/>
          <w:marRight w:val="0"/>
          <w:marTop w:val="0"/>
          <w:marBottom w:val="0"/>
          <w:divBdr>
            <w:top w:val="none" w:sz="0" w:space="0" w:color="auto"/>
            <w:left w:val="none" w:sz="0" w:space="0" w:color="auto"/>
            <w:bottom w:val="none" w:sz="0" w:space="0" w:color="auto"/>
            <w:right w:val="none" w:sz="0" w:space="0" w:color="auto"/>
          </w:divBdr>
        </w:div>
        <w:div w:id="1991401021">
          <w:marLeft w:val="0"/>
          <w:marRight w:val="0"/>
          <w:marTop w:val="0"/>
          <w:marBottom w:val="0"/>
          <w:divBdr>
            <w:top w:val="none" w:sz="0" w:space="0" w:color="auto"/>
            <w:left w:val="none" w:sz="0" w:space="0" w:color="auto"/>
            <w:bottom w:val="none" w:sz="0" w:space="0" w:color="auto"/>
            <w:right w:val="none" w:sz="0" w:space="0" w:color="auto"/>
          </w:divBdr>
        </w:div>
      </w:divsChild>
    </w:div>
    <w:div w:id="2098135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e.ca.gov/pd/ca/sc/ngssintrod.asp" TargetMode="External"/><Relationship Id="rId20" Type="http://schemas.openxmlformats.org/officeDocument/2006/relationships/hyperlink" Target="http://www.cde.ca.gov/re/cc/" TargetMode="External"/><Relationship Id="rId21" Type="http://schemas.openxmlformats.org/officeDocument/2006/relationships/hyperlink" Target="http://www.cde.ca.gov/pd/ca/sc/ngssfaq.asp" TargetMode="External"/><Relationship Id="rId22" Type="http://schemas.openxmlformats.org/officeDocument/2006/relationships/image" Target="media/image1.gif"/><Relationship Id="rId23" Type="http://schemas.openxmlformats.org/officeDocument/2006/relationships/hyperlink" Target="http://www.cde.ca.gov/ta/tg/sa/documents/suptrecrpt2013.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de.ca.gov/pd/ca/sc/ngssrationale6thgr.asp" TargetMode="External"/><Relationship Id="rId11" Type="http://schemas.openxmlformats.org/officeDocument/2006/relationships/hyperlink" Target="http://www.cde.ca.gov/pd/ca/sc/documents/ngssrationale6thgr.doc" TargetMode="External"/><Relationship Id="rId12" Type="http://schemas.openxmlformats.org/officeDocument/2006/relationships/hyperlink" Target="http://www.cde.ca.gov/pd/ca/sc/ngssrationale7thgr.asp" TargetMode="External"/><Relationship Id="rId13" Type="http://schemas.openxmlformats.org/officeDocument/2006/relationships/hyperlink" Target="http://www.cde.ca.gov/pd/ca/sc/documents/ngssrationale7thgr.doc" TargetMode="External"/><Relationship Id="rId14" Type="http://schemas.openxmlformats.org/officeDocument/2006/relationships/hyperlink" Target="http://www.cde.ca.gov/pd/ca/sc/ngssrationale8thgr.asp" TargetMode="External"/><Relationship Id="rId15" Type="http://schemas.openxmlformats.org/officeDocument/2006/relationships/hyperlink" Target="http://www.cde.ca.gov/pd/ca/sc/documents/ngssrationale8thgr.doc" TargetMode="External"/><Relationship Id="rId16" Type="http://schemas.openxmlformats.org/officeDocument/2006/relationships/hyperlink" Target="http://www.nap.edu/NGSS/" TargetMode="External"/><Relationship Id="rId17" Type="http://schemas.openxmlformats.org/officeDocument/2006/relationships/hyperlink" Target="http://www.nextgenscience.org/" TargetMode="External"/><Relationship Id="rId18" Type="http://schemas.openxmlformats.org/officeDocument/2006/relationships/hyperlink" Target="http://www.nextgenscience.org/sites/ngss/files/Appendix%20K_Revised%208.30.13.pdf" TargetMode="External"/><Relationship Id="rId19" Type="http://schemas.openxmlformats.org/officeDocument/2006/relationships/hyperlink" Target="http://www.nextgenscience.org/sites/ngss/files/Appendix%20K_Revised%208.30.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e.ca.gov/fg/aa/ca/commoncorefaq.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10705</Characters>
  <Application>Microsoft Macintosh Word</Application>
  <DocSecurity>0</DocSecurity>
  <Lines>89</Lines>
  <Paragraphs>25</Paragraphs>
  <ScaleCrop>false</ScaleCrop>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Huffine</dc:creator>
  <cp:keywords/>
  <dc:description/>
  <cp:lastModifiedBy>Matthew D Huffine</cp:lastModifiedBy>
  <cp:revision>2</cp:revision>
  <dcterms:created xsi:type="dcterms:W3CDTF">2014-01-17T00:22:00Z</dcterms:created>
  <dcterms:modified xsi:type="dcterms:W3CDTF">2014-01-17T00:22:00Z</dcterms:modified>
</cp:coreProperties>
</file>